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AF8FC" w14:textId="77777777" w:rsidR="00CA33C2" w:rsidRPr="007F1B29" w:rsidRDefault="00CA33C2" w:rsidP="0063428B">
      <w:pPr>
        <w:spacing w:line="360" w:lineRule="auto"/>
        <w:jc w:val="center"/>
        <w:rPr>
          <w:rFonts w:ascii="Times New Roman" w:hAnsi="Times New Roman"/>
          <w:b/>
        </w:rPr>
      </w:pPr>
      <w:bookmarkStart w:id="0" w:name="_GoBack"/>
      <w:bookmarkEnd w:id="0"/>
      <w:r w:rsidRPr="007F1B29">
        <w:rPr>
          <w:rFonts w:ascii="Times New Roman" w:hAnsi="Times New Roman"/>
          <w:b/>
        </w:rPr>
        <w:t>ORDIN</w:t>
      </w:r>
    </w:p>
    <w:p w14:paraId="21EEC5B9" w14:textId="6824D905" w:rsidR="00CA33C2" w:rsidRPr="007F1B29" w:rsidRDefault="00CA33C2" w:rsidP="0063428B">
      <w:pPr>
        <w:spacing w:line="360" w:lineRule="auto"/>
        <w:jc w:val="center"/>
        <w:rPr>
          <w:rFonts w:ascii="Times New Roman" w:hAnsi="Times New Roman"/>
          <w:b/>
        </w:rPr>
      </w:pPr>
      <w:r w:rsidRPr="007F1B29">
        <w:rPr>
          <w:rFonts w:ascii="Times New Roman" w:eastAsia="Arial Unicode MS" w:hAnsi="Times New Roman"/>
          <w:b/>
        </w:rPr>
        <w:t>privind modificarea</w:t>
      </w:r>
      <w:r w:rsidR="00650297" w:rsidRPr="007F1B29">
        <w:rPr>
          <w:rFonts w:ascii="Times New Roman" w:eastAsia="Arial Unicode MS" w:hAnsi="Times New Roman"/>
          <w:b/>
        </w:rPr>
        <w:t xml:space="preserve"> </w:t>
      </w:r>
      <w:r w:rsidR="00047670" w:rsidRPr="007F1B29">
        <w:rPr>
          <w:rFonts w:ascii="Times New Roman" w:eastAsia="Arial Unicode MS" w:hAnsi="Times New Roman"/>
          <w:b/>
        </w:rPr>
        <w:t xml:space="preserve">și completarea </w:t>
      </w:r>
      <w:r w:rsidR="00DE1C6F" w:rsidRPr="007F1B29">
        <w:rPr>
          <w:rFonts w:ascii="Times New Roman" w:hAnsi="Times New Roman"/>
          <w:b/>
          <w:bCs/>
          <w:color w:val="000000"/>
          <w:lang w:eastAsia="en-US"/>
        </w:rPr>
        <w:t>Regulamentului privind realizarea, verificarea și</w:t>
      </w:r>
      <w:r w:rsidR="00DE1C6F" w:rsidRPr="007F1B29">
        <w:rPr>
          <w:rFonts w:ascii="Times New Roman" w:hAnsi="Times New Roman"/>
          <w:b/>
          <w:bCs/>
          <w:color w:val="C00000"/>
          <w:lang w:eastAsia="en-US"/>
        </w:rPr>
        <w:t xml:space="preserve"> </w:t>
      </w:r>
      <w:r w:rsidR="00DE1C6F" w:rsidRPr="007F1B29">
        <w:rPr>
          <w:rFonts w:ascii="Times New Roman" w:hAnsi="Times New Roman"/>
          <w:b/>
          <w:bCs/>
          <w:lang w:eastAsia="en-US"/>
        </w:rPr>
        <w:t xml:space="preserve">recepția lucrărilor sistematice de cadastru </w:t>
      </w:r>
      <w:r w:rsidR="00DE1C6F" w:rsidRPr="007F1B29">
        <w:rPr>
          <w:rFonts w:ascii="Times New Roman" w:hAnsi="Times New Roman"/>
          <w:b/>
          <w:bCs/>
          <w:color w:val="000000"/>
          <w:lang w:eastAsia="en-US"/>
        </w:rPr>
        <w:t xml:space="preserve">și înscrierea din oficiu a imobilelor în cartea funciară, </w:t>
      </w:r>
      <w:r w:rsidR="00DE1C6F" w:rsidRPr="007F1B29">
        <w:rPr>
          <w:rFonts w:ascii="Times New Roman" w:hAnsi="Times New Roman"/>
          <w:b/>
        </w:rPr>
        <w:t>aprobat</w:t>
      </w:r>
      <w:r w:rsidRPr="007F1B29">
        <w:rPr>
          <w:rFonts w:ascii="Times New Roman" w:hAnsi="Times New Roman"/>
          <w:b/>
        </w:rPr>
        <w:t xml:space="preserve"> prin Ordinul directorului general al Agenției Naționale de Cadastru și Publicitate Imobiliară nr. </w:t>
      </w:r>
      <w:r w:rsidR="00DE1C6F" w:rsidRPr="007F1B29">
        <w:rPr>
          <w:rFonts w:ascii="Times New Roman" w:hAnsi="Times New Roman"/>
          <w:b/>
        </w:rPr>
        <w:t>1/2020</w:t>
      </w:r>
    </w:p>
    <w:p w14:paraId="60240C71" w14:textId="77777777" w:rsidR="00CA33C2" w:rsidRPr="007F1B29" w:rsidRDefault="00CA33C2" w:rsidP="0063428B">
      <w:pPr>
        <w:spacing w:line="360" w:lineRule="auto"/>
        <w:rPr>
          <w:rFonts w:ascii="Times New Roman" w:hAnsi="Times New Roman"/>
          <w:b/>
        </w:rPr>
      </w:pPr>
    </w:p>
    <w:p w14:paraId="45DCE5FA" w14:textId="77777777" w:rsidR="005D78C2" w:rsidRPr="007F1B29" w:rsidRDefault="005D78C2" w:rsidP="005D78C2">
      <w:pPr>
        <w:spacing w:line="360" w:lineRule="auto"/>
        <w:ind w:firstLine="720"/>
        <w:jc w:val="both"/>
        <w:rPr>
          <w:rFonts w:ascii="Times New Roman" w:hAnsi="Times New Roman"/>
          <w:iCs/>
          <w:lang w:eastAsia="en-US"/>
        </w:rPr>
      </w:pPr>
      <w:r w:rsidRPr="007F1B29">
        <w:rPr>
          <w:rFonts w:ascii="Times New Roman" w:hAnsi="Times New Roman"/>
          <w:iCs/>
          <w:lang w:eastAsia="en-US"/>
        </w:rPr>
        <w:t xml:space="preserve">Având în vedere dispoziţiile </w:t>
      </w:r>
      <w:r w:rsidRPr="007F1B29">
        <w:rPr>
          <w:rFonts w:ascii="Times New Roman" w:hAnsi="Times New Roman"/>
        </w:rPr>
        <w:t>art. 11 alin. (2)</w:t>
      </w:r>
      <w:r w:rsidRPr="007F1B29">
        <w:rPr>
          <w:rFonts w:ascii="Times New Roman" w:hAnsi="Times New Roman"/>
          <w:iCs/>
          <w:lang w:eastAsia="en-US"/>
        </w:rPr>
        <w:t xml:space="preserve"> și art. 20 din Legea cadastrului şi a publicităţii imobiliare nr. 7/1996, republicată, cu modificările şi completările ulterioare,</w:t>
      </w:r>
    </w:p>
    <w:p w14:paraId="41A2617A" w14:textId="77777777" w:rsidR="005D78C2" w:rsidRPr="007F1B29" w:rsidRDefault="005D78C2" w:rsidP="005D78C2">
      <w:pPr>
        <w:spacing w:line="360" w:lineRule="auto"/>
        <w:ind w:firstLine="720"/>
        <w:jc w:val="both"/>
        <w:rPr>
          <w:rFonts w:ascii="Times New Roman" w:hAnsi="Times New Roman"/>
          <w:iCs/>
          <w:lang w:eastAsia="en-US"/>
        </w:rPr>
      </w:pPr>
      <w:r w:rsidRPr="007F1B29">
        <w:rPr>
          <w:rFonts w:ascii="Times New Roman" w:hAnsi="Times New Roman"/>
          <w:iCs/>
          <w:lang w:eastAsia="en-US"/>
        </w:rPr>
        <w:t xml:space="preserve">În temeiul art. 3 </w:t>
      </w:r>
      <w:hyperlink r:id="rId9" w:history="1">
        <w:r w:rsidRPr="007F1B29">
          <w:rPr>
            <w:rFonts w:ascii="Times New Roman" w:hAnsi="Times New Roman"/>
            <w:iCs/>
            <w:lang w:eastAsia="en-US"/>
          </w:rPr>
          <w:t>alin. (13)</w:t>
        </w:r>
      </w:hyperlink>
      <w:r w:rsidRPr="007F1B29">
        <w:rPr>
          <w:rFonts w:ascii="Times New Roman" w:hAnsi="Times New Roman"/>
          <w:iCs/>
          <w:lang w:eastAsia="en-US"/>
        </w:rPr>
        <w:t xml:space="preserve"> din Legea cadastrului şi a publicităţii imobiliare nr. 7/1996, republicată, cu modificările şi completările ulterioare, </w:t>
      </w:r>
    </w:p>
    <w:p w14:paraId="2A089FF7" w14:textId="0D825C04" w:rsidR="00CA33C2" w:rsidRPr="007F1B29" w:rsidRDefault="00CA33C2" w:rsidP="005D78C2">
      <w:pPr>
        <w:spacing w:line="360" w:lineRule="auto"/>
        <w:ind w:firstLine="720"/>
        <w:jc w:val="both"/>
        <w:rPr>
          <w:rFonts w:ascii="Times New Roman" w:hAnsi="Times New Roman"/>
          <w:iCs/>
          <w:lang w:eastAsia="en-US"/>
        </w:rPr>
      </w:pPr>
      <w:r w:rsidRPr="007F1B29">
        <w:rPr>
          <w:rFonts w:ascii="Times New Roman" w:hAnsi="Times New Roman"/>
          <w:iCs/>
          <w:lang w:eastAsia="en-US"/>
        </w:rPr>
        <w:t>directorul general al Agenției Naționale de Cadastru și Publicitate Imobiliară emite prezentul</w:t>
      </w:r>
    </w:p>
    <w:p w14:paraId="27ED8F56" w14:textId="77777777" w:rsidR="00CA33C2" w:rsidRPr="007F1B29" w:rsidRDefault="00CA33C2" w:rsidP="0063428B">
      <w:pPr>
        <w:spacing w:line="360" w:lineRule="auto"/>
        <w:ind w:firstLine="720"/>
        <w:jc w:val="both"/>
        <w:rPr>
          <w:rFonts w:ascii="Times New Roman" w:hAnsi="Times New Roman"/>
          <w:iCs/>
          <w:lang w:eastAsia="en-US"/>
        </w:rPr>
      </w:pPr>
    </w:p>
    <w:p w14:paraId="5FA0B074" w14:textId="77777777" w:rsidR="00CA33C2" w:rsidRPr="007F1B29" w:rsidRDefault="00CA33C2" w:rsidP="0063428B">
      <w:pPr>
        <w:spacing w:line="360" w:lineRule="auto"/>
        <w:jc w:val="center"/>
        <w:rPr>
          <w:rFonts w:ascii="Times New Roman" w:hAnsi="Times New Roman"/>
          <w:b/>
          <w:iCs/>
          <w:lang w:eastAsia="en-US"/>
        </w:rPr>
      </w:pPr>
      <w:r w:rsidRPr="007F1B29">
        <w:rPr>
          <w:rFonts w:ascii="Times New Roman" w:hAnsi="Times New Roman"/>
          <w:b/>
          <w:iCs/>
          <w:lang w:eastAsia="en-US"/>
        </w:rPr>
        <w:t>ORDIN:</w:t>
      </w:r>
    </w:p>
    <w:p w14:paraId="329E46A8" w14:textId="6F558535" w:rsidR="00CA33C2" w:rsidRPr="007F1B29" w:rsidRDefault="00CA33C2" w:rsidP="0063428B">
      <w:pPr>
        <w:spacing w:line="360" w:lineRule="auto"/>
        <w:ind w:firstLine="720"/>
        <w:jc w:val="both"/>
        <w:rPr>
          <w:rFonts w:ascii="Times New Roman" w:hAnsi="Times New Roman"/>
          <w:lang w:eastAsia="en-US"/>
        </w:rPr>
      </w:pPr>
      <w:r w:rsidRPr="007F1B29">
        <w:rPr>
          <w:rFonts w:ascii="Times New Roman" w:hAnsi="Times New Roman"/>
          <w:b/>
          <w:bCs/>
          <w:lang w:eastAsia="en-US"/>
        </w:rPr>
        <w:t xml:space="preserve">Art. 1. </w:t>
      </w:r>
      <w:r w:rsidR="00C01D28" w:rsidRPr="007F1B29">
        <w:rPr>
          <w:rFonts w:ascii="Times New Roman" w:hAnsi="Times New Roman"/>
          <w:bCs/>
          <w:color w:val="000000"/>
          <w:lang w:eastAsia="en-US"/>
        </w:rPr>
        <w:t xml:space="preserve">Regulamentul privind realizarea, verificarea și </w:t>
      </w:r>
      <w:r w:rsidR="00C01D28" w:rsidRPr="007F1B29">
        <w:rPr>
          <w:rFonts w:ascii="Times New Roman" w:hAnsi="Times New Roman"/>
          <w:bCs/>
          <w:lang w:eastAsia="en-US"/>
        </w:rPr>
        <w:t xml:space="preserve">recepția lucrărilor sistematice de cadastru </w:t>
      </w:r>
      <w:r w:rsidR="00C01D28" w:rsidRPr="007F1B29">
        <w:rPr>
          <w:rFonts w:ascii="Times New Roman" w:hAnsi="Times New Roman"/>
          <w:bCs/>
          <w:color w:val="000000"/>
          <w:lang w:eastAsia="en-US"/>
        </w:rPr>
        <w:t>și înscrierea din oficiu a imobilelor în cartea funciară,</w:t>
      </w:r>
      <w:r w:rsidR="00C01D28" w:rsidRPr="007F1B29">
        <w:rPr>
          <w:rFonts w:ascii="Times New Roman" w:hAnsi="Times New Roman"/>
          <w:lang w:eastAsia="en-US"/>
        </w:rPr>
        <w:t xml:space="preserve"> aprobat </w:t>
      </w:r>
      <w:r w:rsidRPr="007F1B29">
        <w:rPr>
          <w:rFonts w:ascii="Times New Roman" w:hAnsi="Times New Roman"/>
          <w:lang w:eastAsia="en-US"/>
        </w:rPr>
        <w:t>prin Ordinul directorului general al Agenției Naționale de Cadastru ș</w:t>
      </w:r>
      <w:r w:rsidR="00C01D28" w:rsidRPr="007F1B29">
        <w:rPr>
          <w:rFonts w:ascii="Times New Roman" w:hAnsi="Times New Roman"/>
          <w:lang w:eastAsia="en-US"/>
        </w:rPr>
        <w:t>i Publicitate Imobiliară nr. 1/2020</w:t>
      </w:r>
      <w:r w:rsidRPr="007F1B29">
        <w:rPr>
          <w:rFonts w:ascii="Times New Roman" w:hAnsi="Times New Roman"/>
          <w:lang w:eastAsia="en-US"/>
        </w:rPr>
        <w:t xml:space="preserve">, publicat în Monitorul Oficial al României, Partea I, nr. </w:t>
      </w:r>
      <w:r w:rsidR="00C01D28" w:rsidRPr="007F1B29">
        <w:rPr>
          <w:rFonts w:ascii="Times New Roman" w:hAnsi="Times New Roman"/>
          <w:lang w:eastAsia="en-US"/>
        </w:rPr>
        <w:t>56</w:t>
      </w:r>
      <w:r w:rsidRPr="007F1B29">
        <w:rPr>
          <w:rFonts w:ascii="Times New Roman" w:hAnsi="Times New Roman"/>
          <w:lang w:eastAsia="en-US"/>
        </w:rPr>
        <w:t xml:space="preserve"> din </w:t>
      </w:r>
      <w:r w:rsidR="00C01D28" w:rsidRPr="007F1B29">
        <w:rPr>
          <w:rFonts w:ascii="Times New Roman" w:hAnsi="Times New Roman"/>
          <w:lang w:eastAsia="en-US"/>
        </w:rPr>
        <w:t>28 ianuarie 2020</w:t>
      </w:r>
      <w:r w:rsidRPr="007F1B29">
        <w:rPr>
          <w:rFonts w:ascii="Times New Roman" w:hAnsi="Times New Roman"/>
          <w:lang w:eastAsia="en-US"/>
        </w:rPr>
        <w:t>, se modifică</w:t>
      </w:r>
      <w:r w:rsidR="00650297" w:rsidRPr="007F1B29">
        <w:rPr>
          <w:rFonts w:ascii="Times New Roman" w:hAnsi="Times New Roman"/>
          <w:lang w:eastAsia="en-US"/>
        </w:rPr>
        <w:t xml:space="preserve"> și se completează</w:t>
      </w:r>
      <w:r w:rsidRPr="007F1B29">
        <w:rPr>
          <w:rFonts w:ascii="Times New Roman" w:hAnsi="Times New Roman"/>
          <w:lang w:eastAsia="en-US"/>
        </w:rPr>
        <w:t xml:space="preserve"> conform anexei care face parte integrantă din prezentul ordin.</w:t>
      </w:r>
    </w:p>
    <w:p w14:paraId="7D095FD0" w14:textId="402A43C0" w:rsidR="00CA33C2" w:rsidRPr="007F1B29" w:rsidRDefault="00CC5D3C" w:rsidP="0063428B">
      <w:pPr>
        <w:spacing w:line="360" w:lineRule="auto"/>
        <w:ind w:right="4" w:firstLine="720"/>
        <w:jc w:val="both"/>
        <w:rPr>
          <w:rFonts w:ascii="Times New Roman" w:hAnsi="Times New Roman"/>
          <w:lang w:eastAsia="en-US"/>
        </w:rPr>
      </w:pPr>
      <w:r w:rsidRPr="007F1B29">
        <w:rPr>
          <w:rFonts w:ascii="Times New Roman" w:hAnsi="Times New Roman"/>
          <w:b/>
          <w:bCs/>
          <w:lang w:eastAsia="en-US"/>
        </w:rPr>
        <w:t xml:space="preserve">Art. 2. </w:t>
      </w:r>
      <w:r w:rsidR="00CA33C2" w:rsidRPr="007F1B29">
        <w:rPr>
          <w:rFonts w:ascii="Times New Roman" w:hAnsi="Times New Roman"/>
          <w:lang w:eastAsia="en-US"/>
        </w:rPr>
        <w:t>Prezentul Ordin se publică în Monitorul Oficial al României, Partea I.</w:t>
      </w:r>
    </w:p>
    <w:p w14:paraId="6BADA506" w14:textId="77777777" w:rsidR="00CA33C2" w:rsidRPr="007F1B29" w:rsidRDefault="00CA33C2" w:rsidP="0063428B">
      <w:pPr>
        <w:spacing w:line="360" w:lineRule="auto"/>
        <w:ind w:right="4" w:firstLine="720"/>
        <w:jc w:val="both"/>
        <w:rPr>
          <w:rFonts w:ascii="Times New Roman" w:hAnsi="Times New Roman"/>
          <w:lang w:eastAsia="en-US"/>
        </w:rPr>
      </w:pPr>
    </w:p>
    <w:p w14:paraId="7FA0B7C2" w14:textId="77777777" w:rsidR="00CA33C2" w:rsidRPr="007F1B29" w:rsidRDefault="00CA33C2" w:rsidP="0063428B">
      <w:pPr>
        <w:spacing w:line="360" w:lineRule="auto"/>
        <w:ind w:right="4"/>
        <w:jc w:val="center"/>
        <w:rPr>
          <w:rFonts w:ascii="Times New Roman" w:hAnsi="Times New Roman"/>
          <w:lang w:eastAsia="en-US"/>
        </w:rPr>
      </w:pPr>
      <w:r w:rsidRPr="007F1B29">
        <w:rPr>
          <w:rFonts w:ascii="Times New Roman" w:hAnsi="Times New Roman"/>
          <w:lang w:eastAsia="en-US"/>
        </w:rPr>
        <w:t xml:space="preserve">Directorul general </w:t>
      </w:r>
    </w:p>
    <w:p w14:paraId="53B692EC" w14:textId="77777777" w:rsidR="00CA33C2" w:rsidRPr="007F1B29" w:rsidRDefault="00CA33C2" w:rsidP="0063428B">
      <w:pPr>
        <w:spacing w:line="360" w:lineRule="auto"/>
        <w:ind w:right="4"/>
        <w:jc w:val="center"/>
        <w:rPr>
          <w:rFonts w:ascii="Times New Roman" w:hAnsi="Times New Roman"/>
          <w:lang w:eastAsia="en-US"/>
        </w:rPr>
      </w:pPr>
      <w:r w:rsidRPr="007F1B29">
        <w:rPr>
          <w:rFonts w:ascii="Times New Roman" w:hAnsi="Times New Roman"/>
          <w:lang w:eastAsia="en-US"/>
        </w:rPr>
        <w:t>al Agenției Naționale Cadastru și Publicitate Imobiliară</w:t>
      </w:r>
    </w:p>
    <w:p w14:paraId="18D914B6" w14:textId="3485B22B" w:rsidR="00CA33C2" w:rsidRPr="007F1B29" w:rsidRDefault="00692465" w:rsidP="0063428B">
      <w:pPr>
        <w:spacing w:after="160" w:line="360" w:lineRule="auto"/>
        <w:ind w:right="4"/>
        <w:jc w:val="center"/>
        <w:rPr>
          <w:rFonts w:ascii="Times New Roman" w:eastAsia="Calibri" w:hAnsi="Times New Roman"/>
          <w:lang w:eastAsia="en-US"/>
        </w:rPr>
      </w:pPr>
      <w:r w:rsidRPr="00692465">
        <w:rPr>
          <w:rFonts w:ascii="Times New Roman" w:eastAsia="Calibri" w:hAnsi="Times New Roman"/>
          <w:lang w:eastAsia="en-US"/>
        </w:rPr>
        <w:t>RÁKOSI-SEIWARTH Ildikó</w:t>
      </w:r>
    </w:p>
    <w:p w14:paraId="5AFC4815" w14:textId="77777777" w:rsidR="00CA33C2" w:rsidRPr="007F1B29" w:rsidRDefault="00CA33C2" w:rsidP="0063428B">
      <w:pPr>
        <w:spacing w:line="360" w:lineRule="auto"/>
        <w:ind w:right="4"/>
        <w:rPr>
          <w:rFonts w:ascii="Times New Roman" w:eastAsia="Calibri" w:hAnsi="Times New Roman"/>
          <w:lang w:eastAsia="en-US"/>
        </w:rPr>
      </w:pPr>
      <w:r w:rsidRPr="007F1B29">
        <w:rPr>
          <w:rFonts w:ascii="Times New Roman" w:eastAsia="Calibri" w:hAnsi="Times New Roman"/>
          <w:lang w:eastAsia="en-US"/>
        </w:rPr>
        <w:t>București</w:t>
      </w:r>
    </w:p>
    <w:p w14:paraId="1B662FCA" w14:textId="77777777" w:rsidR="00CA33C2" w:rsidRPr="007F1B29" w:rsidRDefault="00CA33C2" w:rsidP="0063428B">
      <w:pPr>
        <w:spacing w:line="360" w:lineRule="auto"/>
        <w:ind w:right="4"/>
        <w:rPr>
          <w:rFonts w:ascii="Times New Roman" w:eastAsia="Calibri" w:hAnsi="Times New Roman"/>
        </w:rPr>
      </w:pPr>
      <w:r w:rsidRPr="007F1B29">
        <w:rPr>
          <w:rFonts w:ascii="Times New Roman" w:eastAsia="Calibri" w:hAnsi="Times New Roman"/>
          <w:lang w:eastAsia="en-US"/>
        </w:rPr>
        <w:t xml:space="preserve">Nr. </w:t>
      </w:r>
    </w:p>
    <w:p w14:paraId="52B59B99" w14:textId="77777777" w:rsidR="00F949AB" w:rsidRPr="007F1B29" w:rsidRDefault="00F949AB" w:rsidP="00F949AB">
      <w:pPr>
        <w:ind w:left="7788" w:firstLine="708"/>
        <w:jc w:val="both"/>
        <w:rPr>
          <w:rFonts w:ascii="Times New Roman" w:hAnsi="Times New Roman"/>
          <w:color w:val="000000"/>
          <w:lang w:eastAsia="en-US"/>
        </w:rPr>
        <w:sectPr w:rsidR="00F949AB" w:rsidRPr="007F1B29" w:rsidSect="007E1F9A">
          <w:footerReference w:type="default" r:id="rId10"/>
          <w:pgSz w:w="12240" w:h="15840"/>
          <w:pgMar w:top="1170" w:right="1440" w:bottom="1440" w:left="1440" w:header="720" w:footer="720" w:gutter="0"/>
          <w:cols w:space="720"/>
          <w:docGrid w:linePitch="360"/>
        </w:sectPr>
      </w:pPr>
    </w:p>
    <w:p w14:paraId="50EB3B34" w14:textId="00AB9D13" w:rsidR="00F949AB" w:rsidRPr="007F1B29" w:rsidRDefault="00F949AB" w:rsidP="00F949AB">
      <w:pPr>
        <w:ind w:left="7788" w:firstLine="708"/>
        <w:jc w:val="both"/>
        <w:rPr>
          <w:rFonts w:ascii="Times New Roman" w:hAnsi="Times New Roman"/>
          <w:color w:val="000000"/>
          <w:lang w:eastAsia="en-US"/>
        </w:rPr>
      </w:pPr>
    </w:p>
    <w:p w14:paraId="6D723203" w14:textId="723B544C" w:rsidR="00F949AB" w:rsidRPr="007F1B29" w:rsidRDefault="005E54CD" w:rsidP="00F949AB">
      <w:pPr>
        <w:spacing w:line="360" w:lineRule="auto"/>
        <w:jc w:val="center"/>
        <w:rPr>
          <w:rFonts w:ascii="Times New Roman" w:hAnsi="Times New Roman"/>
          <w:color w:val="000000"/>
        </w:rPr>
      </w:pPr>
      <w:r w:rsidRPr="007F1B29">
        <w:rPr>
          <w:rFonts w:ascii="Times New Roman" w:hAnsi="Times New Roman"/>
          <w:b/>
          <w:lang w:eastAsia="en-US"/>
        </w:rPr>
        <w:t>Anexă la Ordinul</w:t>
      </w:r>
      <w:r w:rsidRPr="007F1B29">
        <w:rPr>
          <w:rFonts w:ascii="Times New Roman" w:hAnsi="Times New Roman"/>
          <w:lang w:eastAsia="en-US"/>
        </w:rPr>
        <w:t xml:space="preserve"> </w:t>
      </w:r>
      <w:r w:rsidRPr="007F1B29">
        <w:rPr>
          <w:rFonts w:ascii="Times New Roman" w:hAnsi="Times New Roman"/>
          <w:b/>
        </w:rPr>
        <w:t xml:space="preserve">directorului general al Agenției Naționale de Cadastru și Publicitate Imobiliară </w:t>
      </w:r>
      <w:r w:rsidR="005B08C1" w:rsidRPr="007F1B29">
        <w:rPr>
          <w:rFonts w:ascii="Times New Roman" w:eastAsia="Arial Unicode MS" w:hAnsi="Times New Roman"/>
          <w:b/>
        </w:rPr>
        <w:t>pentru</w:t>
      </w:r>
      <w:r w:rsidRPr="007F1B29">
        <w:rPr>
          <w:rFonts w:ascii="Times New Roman" w:eastAsia="Arial Unicode MS" w:hAnsi="Times New Roman"/>
          <w:b/>
        </w:rPr>
        <w:t xml:space="preserve"> modificarea</w:t>
      </w:r>
      <w:r w:rsidR="00A21284" w:rsidRPr="007F1B29">
        <w:rPr>
          <w:rFonts w:ascii="Times New Roman" w:eastAsia="Arial Unicode MS" w:hAnsi="Times New Roman"/>
          <w:b/>
        </w:rPr>
        <w:t xml:space="preserve"> și completarea</w:t>
      </w:r>
      <w:r w:rsidRPr="007F1B29">
        <w:rPr>
          <w:rFonts w:ascii="Times New Roman" w:eastAsia="Arial Unicode MS" w:hAnsi="Times New Roman"/>
          <w:b/>
        </w:rPr>
        <w:t xml:space="preserve"> </w:t>
      </w:r>
      <w:r w:rsidR="00F949AB" w:rsidRPr="007F1B29">
        <w:rPr>
          <w:rFonts w:ascii="Times New Roman" w:hAnsi="Times New Roman"/>
          <w:b/>
          <w:color w:val="000000"/>
          <w:lang w:eastAsia="en-US"/>
        </w:rPr>
        <w:t>Regulamentului privind realizarea, verificarea şi recepţia lucrărilor sistematice de cadastru şi înscrierea din oficiu a imobilelor în cartea funciară</w:t>
      </w:r>
    </w:p>
    <w:p w14:paraId="3A4409E9" w14:textId="3D939853" w:rsidR="005E54CD" w:rsidRPr="007F1B29" w:rsidRDefault="005E54CD" w:rsidP="0063428B">
      <w:pPr>
        <w:spacing w:line="360" w:lineRule="auto"/>
        <w:ind w:firstLine="708"/>
        <w:jc w:val="both"/>
        <w:rPr>
          <w:rFonts w:ascii="Times New Roman" w:hAnsi="Times New Roman"/>
          <w:b/>
        </w:rPr>
      </w:pPr>
    </w:p>
    <w:p w14:paraId="5F3D0BF4" w14:textId="77777777" w:rsidR="005E54CD" w:rsidRPr="007F1B29" w:rsidRDefault="005E54CD" w:rsidP="0063428B">
      <w:pPr>
        <w:spacing w:line="360" w:lineRule="auto"/>
        <w:jc w:val="both"/>
        <w:rPr>
          <w:rFonts w:ascii="Times New Roman" w:hAnsi="Times New Roman"/>
          <w:b/>
          <w:lang w:eastAsia="ar-SA"/>
        </w:rPr>
      </w:pPr>
    </w:p>
    <w:p w14:paraId="44008773" w14:textId="2B21DFDB" w:rsidR="005E54CD" w:rsidRPr="007F1B29" w:rsidRDefault="007C0CF6" w:rsidP="002F04CE">
      <w:pPr>
        <w:spacing w:line="360" w:lineRule="auto"/>
        <w:ind w:firstLine="708"/>
        <w:jc w:val="both"/>
        <w:rPr>
          <w:rFonts w:ascii="Times New Roman" w:hAnsi="Times New Roman"/>
          <w:lang w:eastAsia="en-US"/>
        </w:rPr>
      </w:pPr>
      <w:r w:rsidRPr="007F1B29">
        <w:rPr>
          <w:rFonts w:ascii="Times New Roman" w:hAnsi="Times New Roman"/>
          <w:color w:val="000000"/>
          <w:lang w:eastAsia="en-US"/>
        </w:rPr>
        <w:t>Regulamentul privind realizarea, verificarea şi recepţia lucrărilor sistematice de cadastru şi înscrierea din oficiu a imobilelor în cartea funciară</w:t>
      </w:r>
      <w:r w:rsidRPr="007F1B29">
        <w:rPr>
          <w:rFonts w:ascii="Times New Roman" w:hAnsi="Times New Roman"/>
          <w:lang w:eastAsia="en-US"/>
        </w:rPr>
        <w:t xml:space="preserve"> aprobat</w:t>
      </w:r>
      <w:r w:rsidR="005E54CD" w:rsidRPr="007F1B29">
        <w:rPr>
          <w:rFonts w:ascii="Times New Roman" w:hAnsi="Times New Roman"/>
          <w:lang w:eastAsia="en-US"/>
        </w:rPr>
        <w:t xml:space="preserve"> prin Ordinul directorului general al Agenției Naționale de Cadastru și Publicitate Imobiliară nr. </w:t>
      </w:r>
      <w:r w:rsidRPr="007F1B29">
        <w:rPr>
          <w:rFonts w:ascii="Times New Roman" w:hAnsi="Times New Roman"/>
          <w:lang w:eastAsia="en-US"/>
        </w:rPr>
        <w:t>1/2020</w:t>
      </w:r>
      <w:r w:rsidR="005E54CD" w:rsidRPr="007F1B29">
        <w:rPr>
          <w:rFonts w:ascii="Times New Roman" w:hAnsi="Times New Roman"/>
          <w:lang w:eastAsia="en-US"/>
        </w:rPr>
        <w:t xml:space="preserve">, </w:t>
      </w:r>
      <w:r w:rsidRPr="007F1B29">
        <w:rPr>
          <w:rFonts w:ascii="Times New Roman" w:hAnsi="Times New Roman"/>
          <w:lang w:eastAsia="en-US"/>
        </w:rPr>
        <w:t xml:space="preserve">Monitorul Oficial al României, Partea I, nr. 56 din 28 ianuarie 2020, se modifică și se completează </w:t>
      </w:r>
      <w:r w:rsidR="00B064D7" w:rsidRPr="007F1B29">
        <w:rPr>
          <w:rFonts w:ascii="Times New Roman" w:hAnsi="Times New Roman"/>
          <w:lang w:eastAsia="en-US"/>
        </w:rPr>
        <w:t xml:space="preserve">după </w:t>
      </w:r>
      <w:r w:rsidR="005E54CD" w:rsidRPr="007F1B29">
        <w:rPr>
          <w:rFonts w:ascii="Times New Roman" w:hAnsi="Times New Roman"/>
          <w:lang w:eastAsia="en-US"/>
        </w:rPr>
        <w:t>cum urmează:</w:t>
      </w:r>
    </w:p>
    <w:p w14:paraId="635931A0" w14:textId="77777777" w:rsidR="005E54CD" w:rsidRPr="007F1B29" w:rsidRDefault="005E54CD" w:rsidP="0063428B">
      <w:pPr>
        <w:spacing w:line="360" w:lineRule="auto"/>
        <w:ind w:firstLine="708"/>
        <w:jc w:val="both"/>
        <w:rPr>
          <w:rFonts w:ascii="Times New Roman" w:hAnsi="Times New Roman"/>
          <w:lang w:eastAsia="en-US"/>
        </w:rPr>
      </w:pPr>
    </w:p>
    <w:p w14:paraId="1625787A" w14:textId="4790DCA2" w:rsidR="00855161" w:rsidRPr="007F1B29" w:rsidRDefault="00A408D6" w:rsidP="00855161">
      <w:pPr>
        <w:spacing w:line="360" w:lineRule="auto"/>
        <w:jc w:val="both"/>
        <w:rPr>
          <w:rFonts w:ascii="Times New Roman" w:hAnsi="Times New Roman"/>
          <w:b/>
        </w:rPr>
      </w:pPr>
      <w:r w:rsidRPr="007F1B29">
        <w:rPr>
          <w:rFonts w:ascii="Times New Roman" w:hAnsi="Times New Roman"/>
          <w:b/>
        </w:rPr>
        <w:tab/>
      </w:r>
      <w:r w:rsidR="002931DC" w:rsidRPr="007F1B29">
        <w:rPr>
          <w:rFonts w:ascii="Times New Roman" w:hAnsi="Times New Roman"/>
          <w:b/>
        </w:rPr>
        <w:t>1</w:t>
      </w:r>
      <w:r w:rsidR="00CC3524" w:rsidRPr="007F1B29">
        <w:rPr>
          <w:rFonts w:ascii="Times New Roman" w:hAnsi="Times New Roman"/>
          <w:b/>
        </w:rPr>
        <w:t xml:space="preserve">. </w:t>
      </w:r>
      <w:r w:rsidR="002122C3" w:rsidRPr="007F1B29">
        <w:rPr>
          <w:rFonts w:ascii="Times New Roman" w:hAnsi="Times New Roman"/>
          <w:b/>
        </w:rPr>
        <w:t>La articolul 4</w:t>
      </w:r>
      <w:r w:rsidR="00855161" w:rsidRPr="007F1B29">
        <w:rPr>
          <w:rFonts w:ascii="Times New Roman" w:hAnsi="Times New Roman"/>
          <w:b/>
        </w:rPr>
        <w:t xml:space="preserve">, alineatul (2) </w:t>
      </w:r>
      <w:r w:rsidR="00A530B0" w:rsidRPr="007F1B29">
        <w:rPr>
          <w:rFonts w:ascii="Times New Roman" w:hAnsi="Times New Roman"/>
          <w:b/>
        </w:rPr>
        <w:t xml:space="preserve">teza 1 </w:t>
      </w:r>
      <w:r w:rsidR="00692465">
        <w:rPr>
          <w:rFonts w:ascii="Times New Roman" w:hAnsi="Times New Roman"/>
          <w:b/>
        </w:rPr>
        <w:t xml:space="preserve">se modifică și alineatul (3) teza finală </w:t>
      </w:r>
      <w:r w:rsidR="00437073" w:rsidRPr="007F1B29">
        <w:rPr>
          <w:rFonts w:ascii="Times New Roman" w:hAnsi="Times New Roman"/>
          <w:b/>
        </w:rPr>
        <w:t xml:space="preserve">se </w:t>
      </w:r>
      <w:r w:rsidR="00692465">
        <w:rPr>
          <w:rFonts w:ascii="Times New Roman" w:hAnsi="Times New Roman"/>
          <w:b/>
        </w:rPr>
        <w:t>completează astfel</w:t>
      </w:r>
      <w:r w:rsidR="00836ED4" w:rsidRPr="007F1B29">
        <w:rPr>
          <w:rFonts w:ascii="Times New Roman" w:hAnsi="Times New Roman"/>
          <w:b/>
        </w:rPr>
        <w:t>:</w:t>
      </w:r>
    </w:p>
    <w:p w14:paraId="5A8534B5" w14:textId="7C41D442" w:rsidR="00836ED4" w:rsidRPr="007F1B29" w:rsidRDefault="00855161" w:rsidP="00836ED4">
      <w:pPr>
        <w:tabs>
          <w:tab w:val="left" w:pos="720"/>
          <w:tab w:val="left" w:pos="1260"/>
        </w:tabs>
        <w:spacing w:line="360" w:lineRule="auto"/>
        <w:jc w:val="both"/>
        <w:rPr>
          <w:rFonts w:ascii="Times New Roman" w:hAnsi="Times New Roman"/>
        </w:rPr>
      </w:pPr>
      <w:r w:rsidRPr="007F1B29">
        <w:rPr>
          <w:rFonts w:ascii="Times New Roman" w:hAnsi="Times New Roman"/>
          <w:b/>
        </w:rPr>
        <w:tab/>
      </w:r>
      <w:r w:rsidR="00D22614" w:rsidRPr="007F1B29">
        <w:rPr>
          <w:rFonts w:ascii="Times New Roman" w:hAnsi="Times New Roman"/>
          <w:b/>
        </w:rPr>
        <w:t>”</w:t>
      </w:r>
      <w:r w:rsidR="00A530B0" w:rsidRPr="007F1B29">
        <w:rPr>
          <w:rFonts w:ascii="Times New Roman" w:hAnsi="Times New Roman"/>
          <w:b/>
        </w:rPr>
        <w:t xml:space="preserve">(2) </w:t>
      </w:r>
      <w:r w:rsidR="00A530B0" w:rsidRPr="007F1B29">
        <w:rPr>
          <w:rFonts w:ascii="Times New Roman" w:hAnsi="Times New Roman"/>
        </w:rPr>
        <w:t xml:space="preserve">OCPI coordonează la nivel local activităţile de înregistrare sistematică şi colaborează cu unitatea administrativ-teritorială pentru buna desfăşurare a activităţilor de înregistrare sistematică. Prin intermediul personalului de specialitate, OCPI participă la realizarea lucrărilor, respectiv: verifică și recepţionează documentele tehnice întocmite de către Prestator, organizează publicarea documentelor tehnice cu sprijinul primăriei, </w:t>
      </w:r>
      <w:r w:rsidR="00692465" w:rsidRPr="00692465">
        <w:rPr>
          <w:rFonts w:ascii="Times New Roman" w:hAnsi="Times New Roman"/>
          <w:b/>
        </w:rPr>
        <w:t>participă prin reprezentanți în Comisia de soluţionare a cererilor</w:t>
      </w:r>
      <w:r w:rsidR="00A530B0" w:rsidRPr="00692465">
        <w:rPr>
          <w:rFonts w:ascii="Times New Roman" w:hAnsi="Times New Roman"/>
          <w:b/>
        </w:rPr>
        <w:t xml:space="preserve"> de rectificare</w:t>
      </w:r>
      <w:r w:rsidR="00A530B0" w:rsidRPr="007F1B29">
        <w:rPr>
          <w:rFonts w:ascii="Times New Roman" w:hAnsi="Times New Roman"/>
        </w:rPr>
        <w:t xml:space="preserve"> formulate în perioada publicării documentelor tehnice.</w:t>
      </w:r>
      <w:r w:rsidR="00437073" w:rsidRPr="007F1B29">
        <w:rPr>
          <w:rFonts w:ascii="Times New Roman" w:hAnsi="Times New Roman"/>
        </w:rPr>
        <w:t xml:space="preserve">”  </w:t>
      </w:r>
    </w:p>
    <w:p w14:paraId="1DAC7775" w14:textId="42E20690" w:rsidR="00F34648" w:rsidRDefault="003916CE" w:rsidP="00836ED4">
      <w:pPr>
        <w:tabs>
          <w:tab w:val="left" w:pos="720"/>
          <w:tab w:val="left" w:pos="1260"/>
        </w:tabs>
        <w:spacing w:line="360" w:lineRule="auto"/>
        <w:jc w:val="both"/>
        <w:rPr>
          <w:rFonts w:ascii="Times New Roman" w:hAnsi="Times New Roman"/>
          <w:b/>
        </w:rPr>
      </w:pPr>
      <w:r>
        <w:rPr>
          <w:rFonts w:ascii="Times New Roman" w:hAnsi="Times New Roman"/>
          <w:b/>
        </w:rPr>
        <w:tab/>
      </w:r>
      <w:r w:rsidR="008A6C09" w:rsidRPr="007F1B29">
        <w:rPr>
          <w:rFonts w:ascii="Times New Roman" w:hAnsi="Times New Roman"/>
          <w:b/>
        </w:rPr>
        <w:t>”</w:t>
      </w:r>
      <w:r w:rsidR="00692465" w:rsidRPr="00692465">
        <w:rPr>
          <w:rFonts w:ascii="Times New Roman" w:hAnsi="Times New Roman"/>
          <w:b/>
        </w:rPr>
        <w:t>(3</w:t>
      </w:r>
      <w:r w:rsidR="00692465">
        <w:rPr>
          <w:rFonts w:ascii="Times New Roman" w:hAnsi="Times New Roman"/>
          <w:b/>
        </w:rPr>
        <w:t>)</w:t>
      </w:r>
      <w:r w:rsidR="00692465" w:rsidRPr="00692465">
        <w:rPr>
          <w:rFonts w:ascii="Times New Roman" w:hAnsi="Times New Roman"/>
          <w:b/>
        </w:rPr>
        <w:t xml:space="preserve"> </w:t>
      </w:r>
      <w:r w:rsidR="00692465" w:rsidRPr="00692465">
        <w:rPr>
          <w:rFonts w:ascii="Times New Roman" w:hAnsi="Times New Roman"/>
        </w:rPr>
        <w:t xml:space="preserve">Contrasemnarea documentelor tehnice poate fi efectuată şi prin emiterea unei adeverinţe care să confirme însuşirea de către primar a informaţiilor cuprinse în documentele tehnice cadastrale. </w:t>
      </w:r>
      <w:r w:rsidR="009B5C26">
        <w:rPr>
          <w:rFonts w:ascii="Times New Roman" w:hAnsi="Times New Roman"/>
          <w:b/>
        </w:rPr>
        <w:t>Primarul desemnează</w:t>
      </w:r>
      <w:r w:rsidR="00692465" w:rsidRPr="00692465">
        <w:rPr>
          <w:rFonts w:ascii="Times New Roman" w:hAnsi="Times New Roman"/>
          <w:b/>
        </w:rPr>
        <w:t xml:space="preserve"> reprezentanți în Comisia de soluţionare a cererilor de rectificare.</w:t>
      </w:r>
      <w:r w:rsidR="008A6C09" w:rsidRPr="008A6C09">
        <w:rPr>
          <w:rFonts w:ascii="Times New Roman" w:hAnsi="Times New Roman"/>
        </w:rPr>
        <w:t>”</w:t>
      </w:r>
    </w:p>
    <w:p w14:paraId="7C6F7CAC" w14:textId="62C307BD" w:rsidR="00F34648" w:rsidRPr="007F1B29" w:rsidRDefault="00F34648" w:rsidP="00836ED4">
      <w:pPr>
        <w:tabs>
          <w:tab w:val="left" w:pos="720"/>
          <w:tab w:val="left" w:pos="1260"/>
        </w:tabs>
        <w:spacing w:line="360" w:lineRule="auto"/>
        <w:jc w:val="both"/>
        <w:rPr>
          <w:rFonts w:ascii="Times New Roman" w:hAnsi="Times New Roman"/>
          <w:b/>
        </w:rPr>
      </w:pPr>
      <w:r w:rsidRPr="007F1B29">
        <w:rPr>
          <w:rFonts w:ascii="Times New Roman" w:hAnsi="Times New Roman"/>
        </w:rPr>
        <w:tab/>
      </w:r>
      <w:r w:rsidR="00C9026B">
        <w:rPr>
          <w:rFonts w:ascii="Times New Roman" w:hAnsi="Times New Roman"/>
          <w:b/>
        </w:rPr>
        <w:t>2. La articolul 19, alineatul</w:t>
      </w:r>
      <w:r w:rsidR="00ED33F4" w:rsidRPr="007F1B29">
        <w:rPr>
          <w:rFonts w:ascii="Times New Roman" w:hAnsi="Times New Roman"/>
          <w:b/>
        </w:rPr>
        <w:t xml:space="preserve"> </w:t>
      </w:r>
      <w:r w:rsidR="00C9026B">
        <w:rPr>
          <w:rFonts w:ascii="Times New Roman" w:hAnsi="Times New Roman"/>
          <w:b/>
        </w:rPr>
        <w:t>(3) se modifică și va</w:t>
      </w:r>
      <w:r w:rsidR="00A43AF6" w:rsidRPr="007F1B29">
        <w:rPr>
          <w:rFonts w:ascii="Times New Roman" w:hAnsi="Times New Roman"/>
          <w:b/>
        </w:rPr>
        <w:t xml:space="preserve"> avea </w:t>
      </w:r>
      <w:r w:rsidRPr="007F1B29">
        <w:rPr>
          <w:rFonts w:ascii="Times New Roman" w:hAnsi="Times New Roman"/>
          <w:b/>
        </w:rPr>
        <w:t>următorul cuprins:</w:t>
      </w:r>
    </w:p>
    <w:p w14:paraId="129BBE22" w14:textId="49E4AC62" w:rsidR="00C9026B" w:rsidRDefault="00F34648" w:rsidP="00C9026B">
      <w:pPr>
        <w:tabs>
          <w:tab w:val="left" w:pos="720"/>
          <w:tab w:val="left" w:pos="1260"/>
        </w:tabs>
        <w:spacing w:line="360" w:lineRule="auto"/>
        <w:jc w:val="both"/>
        <w:rPr>
          <w:rFonts w:ascii="Times New Roman" w:hAnsi="Times New Roman"/>
          <w:b/>
          <w:color w:val="000000"/>
          <w:lang w:eastAsia="en-US"/>
        </w:rPr>
      </w:pPr>
      <w:r w:rsidRPr="007F1B29">
        <w:rPr>
          <w:rFonts w:ascii="Times New Roman" w:hAnsi="Times New Roman"/>
        </w:rPr>
        <w:tab/>
        <w:t>„</w:t>
      </w:r>
      <w:r w:rsidRPr="007F1B29">
        <w:rPr>
          <w:rFonts w:ascii="Times New Roman" w:hAnsi="Times New Roman"/>
          <w:b/>
        </w:rPr>
        <w:t>(</w:t>
      </w:r>
      <w:r w:rsidR="00C9026B">
        <w:rPr>
          <w:rFonts w:ascii="Times New Roman" w:hAnsi="Times New Roman"/>
          <w:b/>
        </w:rPr>
        <w:t>3</w:t>
      </w:r>
      <w:r w:rsidRPr="007F1B29">
        <w:rPr>
          <w:rFonts w:ascii="Times New Roman" w:hAnsi="Times New Roman"/>
          <w:b/>
        </w:rPr>
        <w:t xml:space="preserve">) </w:t>
      </w:r>
      <w:r w:rsidR="00C9026B" w:rsidRPr="00C9026B">
        <w:rPr>
          <w:rFonts w:ascii="Times New Roman" w:hAnsi="Times New Roman"/>
          <w:color w:val="000000"/>
          <w:lang w:eastAsia="en-US"/>
        </w:rPr>
        <w:t xml:space="preserve">Planul principalelor activităţi </w:t>
      </w:r>
      <w:r w:rsidR="00C9026B" w:rsidRPr="00C9026B">
        <w:rPr>
          <w:rFonts w:ascii="Times New Roman" w:hAnsi="Times New Roman"/>
          <w:b/>
          <w:color w:val="000000"/>
          <w:lang w:eastAsia="en-US"/>
        </w:rPr>
        <w:t>va sta la baza întocmirii</w:t>
      </w:r>
      <w:r w:rsidR="00C9026B" w:rsidRPr="00C9026B">
        <w:rPr>
          <w:rFonts w:ascii="Times New Roman" w:hAnsi="Times New Roman"/>
          <w:color w:val="000000"/>
          <w:lang w:eastAsia="en-US"/>
        </w:rPr>
        <w:t xml:space="preserve"> Raportului de activitate, care se transmite lunar Achizitorului. </w:t>
      </w:r>
      <w:r w:rsidR="00C9026B" w:rsidRPr="00C9026B">
        <w:rPr>
          <w:rFonts w:ascii="Times New Roman" w:hAnsi="Times New Roman"/>
          <w:b/>
          <w:color w:val="000000"/>
          <w:lang w:eastAsia="en-US"/>
        </w:rPr>
        <w:t xml:space="preserve">Modelul Raportului de activitate va fi </w:t>
      </w:r>
      <w:r w:rsidR="00C9026B">
        <w:rPr>
          <w:rFonts w:ascii="Times New Roman" w:hAnsi="Times New Roman"/>
          <w:b/>
          <w:color w:val="000000"/>
          <w:lang w:eastAsia="en-US"/>
        </w:rPr>
        <w:t>pus la dispoziția</w:t>
      </w:r>
      <w:r w:rsidR="00C9026B" w:rsidRPr="00C9026B">
        <w:rPr>
          <w:rFonts w:ascii="Times New Roman" w:hAnsi="Times New Roman"/>
          <w:b/>
          <w:color w:val="000000"/>
          <w:lang w:eastAsia="en-US"/>
        </w:rPr>
        <w:t xml:space="preserve"> Prestatorului, după încheierea contractului</w:t>
      </w:r>
      <w:r w:rsidR="00C9026B" w:rsidRPr="00C9026B">
        <w:rPr>
          <w:rFonts w:ascii="Times New Roman" w:hAnsi="Times New Roman"/>
          <w:color w:val="000000"/>
          <w:lang w:eastAsia="en-US"/>
        </w:rPr>
        <w:t>.</w:t>
      </w:r>
      <w:r w:rsidR="00CE03B7" w:rsidRPr="008A6C09">
        <w:rPr>
          <w:rFonts w:ascii="Times New Roman" w:hAnsi="Times New Roman"/>
          <w:color w:val="000000"/>
          <w:lang w:eastAsia="en-US"/>
        </w:rPr>
        <w:t>”</w:t>
      </w:r>
    </w:p>
    <w:p w14:paraId="7B3EEF3D" w14:textId="432DA338" w:rsidR="00D22614" w:rsidRDefault="003E7C9E" w:rsidP="00855161">
      <w:pPr>
        <w:tabs>
          <w:tab w:val="left" w:pos="720"/>
          <w:tab w:val="left" w:pos="1260"/>
        </w:tabs>
        <w:spacing w:line="360" w:lineRule="auto"/>
        <w:jc w:val="both"/>
        <w:rPr>
          <w:rFonts w:ascii="Times New Roman" w:hAnsi="Times New Roman"/>
          <w:b/>
        </w:rPr>
      </w:pPr>
      <w:r w:rsidRPr="007F1B29">
        <w:rPr>
          <w:rFonts w:ascii="Times New Roman" w:hAnsi="Times New Roman"/>
          <w:b/>
        </w:rPr>
        <w:tab/>
      </w:r>
      <w:r w:rsidR="00817998" w:rsidRPr="007F1B29">
        <w:rPr>
          <w:rFonts w:ascii="Times New Roman" w:hAnsi="Times New Roman"/>
          <w:b/>
        </w:rPr>
        <w:t>3.</w:t>
      </w:r>
      <w:r w:rsidR="00817998" w:rsidRPr="007F1B29">
        <w:rPr>
          <w:rFonts w:ascii="Times New Roman" w:hAnsi="Times New Roman"/>
        </w:rPr>
        <w:t xml:space="preserve"> </w:t>
      </w:r>
      <w:r w:rsidR="00817998" w:rsidRPr="007F1B29">
        <w:rPr>
          <w:rFonts w:ascii="Times New Roman" w:hAnsi="Times New Roman"/>
          <w:b/>
        </w:rPr>
        <w:t xml:space="preserve">La </w:t>
      </w:r>
      <w:r w:rsidR="00A72065">
        <w:rPr>
          <w:rFonts w:ascii="Times New Roman" w:hAnsi="Times New Roman"/>
          <w:b/>
        </w:rPr>
        <w:t xml:space="preserve">alineatul (5) al </w:t>
      </w:r>
      <w:r w:rsidR="00817998" w:rsidRPr="007F1B29">
        <w:rPr>
          <w:rFonts w:ascii="Times New Roman" w:hAnsi="Times New Roman"/>
          <w:b/>
        </w:rPr>
        <w:t>articolul</w:t>
      </w:r>
      <w:r w:rsidR="00A72065">
        <w:rPr>
          <w:rFonts w:ascii="Times New Roman" w:hAnsi="Times New Roman"/>
          <w:b/>
        </w:rPr>
        <w:t>ui 29</w:t>
      </w:r>
      <w:r w:rsidR="00817998" w:rsidRPr="007F1B29">
        <w:rPr>
          <w:rFonts w:ascii="Times New Roman" w:hAnsi="Times New Roman"/>
          <w:b/>
        </w:rPr>
        <w:t xml:space="preserve"> </w:t>
      </w:r>
      <w:r w:rsidR="00A72065">
        <w:rPr>
          <w:rFonts w:ascii="Times New Roman" w:hAnsi="Times New Roman"/>
          <w:b/>
        </w:rPr>
        <w:t>liniuța 1 se completează astfel:</w:t>
      </w:r>
    </w:p>
    <w:p w14:paraId="5EB5872B" w14:textId="027C84A4" w:rsidR="00A72065" w:rsidRPr="00A72065" w:rsidRDefault="00A72065" w:rsidP="00855161">
      <w:pPr>
        <w:tabs>
          <w:tab w:val="left" w:pos="720"/>
          <w:tab w:val="left" w:pos="1260"/>
        </w:tabs>
        <w:spacing w:line="360" w:lineRule="auto"/>
        <w:jc w:val="both"/>
        <w:rPr>
          <w:rFonts w:ascii="Times New Roman" w:hAnsi="Times New Roman"/>
          <w:b/>
        </w:rPr>
      </w:pPr>
      <w:r w:rsidRPr="00A72065">
        <w:rPr>
          <w:rFonts w:ascii="Times New Roman" w:hAnsi="Times New Roman"/>
        </w:rPr>
        <w:lastRenderedPageBreak/>
        <w:t xml:space="preserve">”- în cazul imobilelor care au făcut obiectul legilor fondului funciar, dacă suprafaţa din măsurători este mai mare decât suprafaţa din actul de proprietate, diferenţa de teren rămâne la dispoziţia comisiei locale pentru stabilirea dreptului de proprietate asupra terenurilor, caz în care se va înscrie provizoriu dreptul de proprietate în favoarea unităţii administrativ-teritoriale. </w:t>
      </w:r>
      <w:r w:rsidRPr="00A72065">
        <w:rPr>
          <w:rFonts w:ascii="Times New Roman" w:hAnsi="Times New Roman"/>
          <w:b/>
        </w:rPr>
        <w:t>Prin excepție, în situația în care titlurile de proprietate au fost emise pe vechile amplasamente, în condițiile prevăzute la art. 27 alin. (2) din Legea fondului funciar nr. 18/1991, republicată, cu modificări</w:t>
      </w:r>
      <w:r w:rsidR="00B00BAB">
        <w:rPr>
          <w:rFonts w:ascii="Times New Roman" w:hAnsi="Times New Roman"/>
          <w:b/>
        </w:rPr>
        <w:t xml:space="preserve">le şi completările ulterioare, </w:t>
      </w:r>
      <w:r w:rsidRPr="00A72065">
        <w:rPr>
          <w:rFonts w:ascii="Times New Roman" w:hAnsi="Times New Roman"/>
          <w:b/>
        </w:rPr>
        <w:t>în documentele tehnice se înscrie suprafața rezultată din măsurători.</w:t>
      </w:r>
      <w:r>
        <w:rPr>
          <w:rFonts w:ascii="Times New Roman" w:hAnsi="Times New Roman"/>
          <w:b/>
        </w:rPr>
        <w:t>”</w:t>
      </w:r>
    </w:p>
    <w:p w14:paraId="27634BAF" w14:textId="4CCC4C09" w:rsidR="00FC126A" w:rsidRPr="007F1B29" w:rsidRDefault="003E7C9E" w:rsidP="00855161">
      <w:pPr>
        <w:tabs>
          <w:tab w:val="left" w:pos="720"/>
          <w:tab w:val="left" w:pos="1260"/>
        </w:tabs>
        <w:spacing w:line="360" w:lineRule="auto"/>
        <w:jc w:val="both"/>
        <w:rPr>
          <w:rFonts w:ascii="Times New Roman" w:hAnsi="Times New Roman"/>
          <w:b/>
        </w:rPr>
      </w:pPr>
      <w:r w:rsidRPr="007F1B29">
        <w:rPr>
          <w:rFonts w:ascii="Times New Roman" w:hAnsi="Times New Roman"/>
          <w:b/>
        </w:rPr>
        <w:tab/>
      </w:r>
      <w:r w:rsidR="00FC126A" w:rsidRPr="007F1B29">
        <w:rPr>
          <w:rFonts w:ascii="Times New Roman" w:hAnsi="Times New Roman"/>
          <w:b/>
        </w:rPr>
        <w:t xml:space="preserve">4. </w:t>
      </w:r>
      <w:r w:rsidR="00B00BAB">
        <w:rPr>
          <w:rFonts w:ascii="Times New Roman" w:hAnsi="Times New Roman"/>
          <w:b/>
        </w:rPr>
        <w:t xml:space="preserve">La articolul 42, după alineatul (2) se introduce alineatul (3) cu următorul conținut: </w:t>
      </w:r>
    </w:p>
    <w:p w14:paraId="198957CF" w14:textId="425EC428" w:rsidR="004E23DD" w:rsidRPr="00B00BAB" w:rsidRDefault="00FC126A" w:rsidP="00855161">
      <w:pPr>
        <w:tabs>
          <w:tab w:val="left" w:pos="720"/>
          <w:tab w:val="left" w:pos="1260"/>
        </w:tabs>
        <w:spacing w:line="360" w:lineRule="auto"/>
        <w:jc w:val="both"/>
        <w:rPr>
          <w:rFonts w:ascii="Times New Roman" w:hAnsi="Times New Roman"/>
          <w:b/>
        </w:rPr>
      </w:pPr>
      <w:r w:rsidRPr="007F1B29">
        <w:rPr>
          <w:rFonts w:ascii="Times New Roman" w:hAnsi="Times New Roman"/>
        </w:rPr>
        <w:t>”</w:t>
      </w:r>
      <w:r w:rsidR="00B00BAB">
        <w:rPr>
          <w:rFonts w:ascii="Times New Roman" w:hAnsi="Times New Roman"/>
          <w:b/>
        </w:rPr>
        <w:t>(3</w:t>
      </w:r>
      <w:r w:rsidRPr="007F1B29">
        <w:rPr>
          <w:rFonts w:ascii="Times New Roman" w:hAnsi="Times New Roman"/>
          <w:b/>
        </w:rPr>
        <w:t>)</w:t>
      </w:r>
      <w:r w:rsidRPr="007F1B29">
        <w:rPr>
          <w:rFonts w:ascii="Times New Roman" w:hAnsi="Times New Roman"/>
        </w:rPr>
        <w:t xml:space="preserve"> </w:t>
      </w:r>
      <w:r w:rsidR="00B00BAB">
        <w:rPr>
          <w:rFonts w:ascii="Times New Roman" w:hAnsi="Times New Roman"/>
        </w:rPr>
        <w:t>Î</w:t>
      </w:r>
      <w:r w:rsidR="00B00BAB" w:rsidRPr="00B00BAB">
        <w:rPr>
          <w:rFonts w:ascii="Times New Roman" w:hAnsi="Times New Roman"/>
          <w:b/>
        </w:rPr>
        <w:t>n cazul în care Achizitorul este ANCPI, publicarea anunțului prealabil este asigurată de OCPI.</w:t>
      </w:r>
      <w:r w:rsidR="00B00BAB">
        <w:rPr>
          <w:rFonts w:ascii="Times New Roman" w:hAnsi="Times New Roman"/>
          <w:b/>
        </w:rPr>
        <w:t>”</w:t>
      </w:r>
    </w:p>
    <w:p w14:paraId="7C978E59" w14:textId="62652102" w:rsidR="00FC126A" w:rsidRDefault="003E7C9E" w:rsidP="00855161">
      <w:pPr>
        <w:tabs>
          <w:tab w:val="left" w:pos="720"/>
          <w:tab w:val="left" w:pos="1260"/>
        </w:tabs>
        <w:spacing w:line="360" w:lineRule="auto"/>
        <w:jc w:val="both"/>
        <w:rPr>
          <w:rFonts w:ascii="Times New Roman" w:hAnsi="Times New Roman"/>
        </w:rPr>
      </w:pPr>
      <w:r w:rsidRPr="007F1B29">
        <w:rPr>
          <w:rFonts w:ascii="Times New Roman" w:hAnsi="Times New Roman"/>
          <w:b/>
        </w:rPr>
        <w:tab/>
      </w:r>
      <w:r w:rsidR="004E23DD" w:rsidRPr="007F1B29">
        <w:rPr>
          <w:rFonts w:ascii="Times New Roman" w:hAnsi="Times New Roman"/>
          <w:b/>
        </w:rPr>
        <w:t>5.</w:t>
      </w:r>
      <w:r w:rsidR="004E23DD" w:rsidRPr="007F1B29">
        <w:rPr>
          <w:rFonts w:ascii="Times New Roman" w:hAnsi="Times New Roman"/>
        </w:rPr>
        <w:t xml:space="preserve"> </w:t>
      </w:r>
      <w:r w:rsidR="000C7C29" w:rsidRPr="000C7C29">
        <w:rPr>
          <w:rFonts w:ascii="Times New Roman" w:hAnsi="Times New Roman"/>
          <w:b/>
        </w:rPr>
        <w:t>Articolul 49 se modifică astfel:</w:t>
      </w:r>
    </w:p>
    <w:p w14:paraId="4830407C" w14:textId="54E00D39" w:rsidR="000C7C29" w:rsidRPr="000C7C29" w:rsidRDefault="000C7C29" w:rsidP="000C7C29">
      <w:pPr>
        <w:tabs>
          <w:tab w:val="left" w:pos="720"/>
          <w:tab w:val="left" w:pos="1260"/>
        </w:tabs>
        <w:spacing w:line="360" w:lineRule="auto"/>
        <w:jc w:val="both"/>
        <w:rPr>
          <w:rFonts w:ascii="Times New Roman" w:hAnsi="Times New Roman"/>
        </w:rPr>
      </w:pPr>
      <w:r>
        <w:rPr>
          <w:rFonts w:ascii="Times New Roman" w:hAnsi="Times New Roman"/>
          <w:b/>
        </w:rPr>
        <w:t xml:space="preserve">   ”</w:t>
      </w:r>
      <w:r w:rsidRPr="000C7C29">
        <w:rPr>
          <w:rFonts w:ascii="Times New Roman" w:hAnsi="Times New Roman"/>
          <w:b/>
        </w:rPr>
        <w:t>(1)</w:t>
      </w:r>
      <w:r w:rsidRPr="000C7C29">
        <w:rPr>
          <w:rFonts w:ascii="Times New Roman" w:hAnsi="Times New Roman"/>
        </w:rPr>
        <w:t xml:space="preserve"> Soluționarea cererilor de rectificare se realizează de către comisia de soluţionare a cererilor de rectificare formată din reprezentanți ai OCPI, UAT și executantului, desemnați pentru îndeplinirea acestor atribuţii. </w:t>
      </w:r>
    </w:p>
    <w:p w14:paraId="7E269F26"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b/>
        </w:rPr>
        <w:t xml:space="preserve">   (2)</w:t>
      </w:r>
      <w:r w:rsidRPr="000C7C29">
        <w:rPr>
          <w:rFonts w:ascii="Times New Roman" w:hAnsi="Times New Roman"/>
        </w:rPr>
        <w:t xml:space="preserve"> Comisia de soluţionare a cererilor de rectificare (denumită în continuare comisie) se constituie prin decizia directorului oficiului teritorial, cu cel puțin 5 zile înainte de data stabilită pentru afișarea documentelor tehnice ale cadastrului spre publicare.</w:t>
      </w:r>
    </w:p>
    <w:p w14:paraId="2AB4674C"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 xml:space="preserve">(3) </w:t>
      </w:r>
      <w:r w:rsidRPr="000C7C29">
        <w:rPr>
          <w:rFonts w:ascii="Times New Roman" w:hAnsi="Times New Roman"/>
        </w:rPr>
        <w:t>Comisia este formată din 5 membri titulari și 4 membri supleanți, după cum urmează:</w:t>
      </w:r>
    </w:p>
    <w:p w14:paraId="65EB9710"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a) un membru titular și un membru supleant desemnați de primarul unităţii administrativ-teritoriale;</w:t>
      </w:r>
    </w:p>
    <w:p w14:paraId="1A0F3375" w14:textId="19641A26" w:rsidR="000C7C29" w:rsidRPr="000C7C29" w:rsidRDefault="008A6C09" w:rsidP="000C7C29">
      <w:pPr>
        <w:tabs>
          <w:tab w:val="left" w:pos="720"/>
          <w:tab w:val="left" w:pos="1260"/>
        </w:tabs>
        <w:spacing w:line="360" w:lineRule="auto"/>
        <w:jc w:val="both"/>
        <w:rPr>
          <w:rFonts w:ascii="Times New Roman" w:hAnsi="Times New Roman"/>
        </w:rPr>
      </w:pPr>
      <w:r>
        <w:rPr>
          <w:rFonts w:ascii="Times New Roman" w:hAnsi="Times New Roman"/>
        </w:rPr>
        <w:t>b) un membru titular ș</w:t>
      </w:r>
      <w:r w:rsidR="000C7C29" w:rsidRPr="000C7C29">
        <w:rPr>
          <w:rFonts w:ascii="Times New Roman" w:hAnsi="Times New Roman"/>
        </w:rPr>
        <w:t xml:space="preserve">i un membru supleant, reprezentanţi mandataţi ai executantului lucrării de înregistrare sistematică, cu excepția cazului în care executantul este Persoană Fizică Autorizată; </w:t>
      </w:r>
    </w:p>
    <w:p w14:paraId="5435BF88"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c) trei membri titulari dintre care unul are calitatea de președinte și doi membri supleanți, dintre care unul are calitatea de președinte supleant, toți reprezentanți ai OCPI.</w:t>
      </w:r>
    </w:p>
    <w:p w14:paraId="2D01AECE" w14:textId="462F1D11" w:rsidR="000C7C29" w:rsidRPr="000C7C29" w:rsidRDefault="000C7C29" w:rsidP="000C7C29">
      <w:pPr>
        <w:tabs>
          <w:tab w:val="left" w:pos="720"/>
          <w:tab w:val="left" w:pos="1260"/>
        </w:tabs>
        <w:spacing w:line="360" w:lineRule="auto"/>
        <w:jc w:val="both"/>
        <w:rPr>
          <w:rFonts w:ascii="Times New Roman" w:hAnsi="Times New Roman"/>
        </w:rPr>
      </w:pPr>
      <w:r>
        <w:rPr>
          <w:rFonts w:ascii="Times New Roman" w:hAnsi="Times New Roman"/>
          <w:b/>
        </w:rPr>
        <w:t xml:space="preserve">   </w:t>
      </w:r>
      <w:r w:rsidRPr="000C7C29">
        <w:rPr>
          <w:rFonts w:ascii="Times New Roman" w:hAnsi="Times New Roman"/>
          <w:b/>
        </w:rPr>
        <w:t>(4)</w:t>
      </w:r>
      <w:r w:rsidRPr="000C7C29">
        <w:rPr>
          <w:rFonts w:ascii="Times New Roman" w:hAnsi="Times New Roman"/>
        </w:rPr>
        <w:t xml:space="preserve"> Comisia îşi desfășoară activitatea la sediul oficiului teritorial, și/sau la sediul primăriei unit</w:t>
      </w:r>
      <w:r w:rsidR="0025305F">
        <w:rPr>
          <w:rFonts w:ascii="Times New Roman" w:hAnsi="Times New Roman"/>
        </w:rPr>
        <w:t>ății administrative-teritoriale, sau la teren, după caz.</w:t>
      </w:r>
      <w:r w:rsidRPr="000C7C29">
        <w:rPr>
          <w:rFonts w:ascii="Times New Roman" w:hAnsi="Times New Roman"/>
        </w:rPr>
        <w:t xml:space="preserve">   </w:t>
      </w:r>
    </w:p>
    <w:p w14:paraId="349BEBFB" w14:textId="6347673B" w:rsidR="000C7C29" w:rsidRPr="000C7C29" w:rsidRDefault="000C7C29" w:rsidP="000C7C29">
      <w:pPr>
        <w:tabs>
          <w:tab w:val="left" w:pos="720"/>
          <w:tab w:val="left" w:pos="1260"/>
        </w:tabs>
        <w:spacing w:line="360" w:lineRule="auto"/>
        <w:jc w:val="both"/>
        <w:rPr>
          <w:rFonts w:ascii="Times New Roman" w:hAnsi="Times New Roman"/>
        </w:rPr>
      </w:pPr>
      <w:r>
        <w:rPr>
          <w:rFonts w:ascii="Times New Roman" w:hAnsi="Times New Roman"/>
          <w:b/>
        </w:rPr>
        <w:t xml:space="preserve">   </w:t>
      </w:r>
      <w:r w:rsidRPr="000C7C29">
        <w:rPr>
          <w:rFonts w:ascii="Times New Roman" w:hAnsi="Times New Roman"/>
          <w:b/>
        </w:rPr>
        <w:t>(5)</w:t>
      </w:r>
      <w:r w:rsidRPr="000C7C29">
        <w:rPr>
          <w:rFonts w:ascii="Times New Roman" w:hAnsi="Times New Roman"/>
        </w:rPr>
        <w:t xml:space="preserve"> Şedinţele comisiei se vor ţine până la data la care vor fi emise şi comunicate, potrivit legii, toate procesele verbale de soluționare a cererilor de rectificare/contestațiilor.</w:t>
      </w:r>
    </w:p>
    <w:p w14:paraId="5CB8B92C" w14:textId="455030A7" w:rsidR="000C7C29" w:rsidRPr="000C7C29" w:rsidRDefault="000C7C29" w:rsidP="000C7C29">
      <w:pPr>
        <w:tabs>
          <w:tab w:val="left" w:pos="720"/>
          <w:tab w:val="left" w:pos="1260"/>
        </w:tabs>
        <w:spacing w:line="360" w:lineRule="auto"/>
        <w:jc w:val="both"/>
        <w:rPr>
          <w:rFonts w:ascii="Times New Roman" w:hAnsi="Times New Roman"/>
        </w:rPr>
      </w:pPr>
      <w:r>
        <w:rPr>
          <w:rFonts w:ascii="Times New Roman" w:hAnsi="Times New Roman"/>
          <w:b/>
        </w:rPr>
        <w:t xml:space="preserve">   </w:t>
      </w:r>
      <w:r w:rsidRPr="000C7C29">
        <w:rPr>
          <w:rFonts w:ascii="Times New Roman" w:hAnsi="Times New Roman"/>
          <w:b/>
        </w:rPr>
        <w:t>(6)</w:t>
      </w:r>
      <w:r w:rsidRPr="000C7C29">
        <w:rPr>
          <w:rFonts w:ascii="Times New Roman" w:hAnsi="Times New Roman"/>
        </w:rPr>
        <w:t xml:space="preserve"> Comisia este legal întrunită şi îşi poate desfăşura lucrările în prezenţa a cel puţin trei membri.</w:t>
      </w:r>
    </w:p>
    <w:p w14:paraId="35A4C7A5" w14:textId="304BF4A7" w:rsidR="000C7C29" w:rsidRPr="000C7C29" w:rsidRDefault="000C7C29" w:rsidP="000C7C29">
      <w:pPr>
        <w:tabs>
          <w:tab w:val="left" w:pos="720"/>
          <w:tab w:val="left" w:pos="1260"/>
        </w:tabs>
        <w:spacing w:line="360" w:lineRule="auto"/>
        <w:jc w:val="both"/>
        <w:rPr>
          <w:rFonts w:ascii="Times New Roman" w:hAnsi="Times New Roman"/>
        </w:rPr>
      </w:pPr>
      <w:r>
        <w:rPr>
          <w:rFonts w:ascii="Times New Roman" w:hAnsi="Times New Roman"/>
          <w:b/>
        </w:rPr>
        <w:lastRenderedPageBreak/>
        <w:t xml:space="preserve">   </w:t>
      </w:r>
      <w:r w:rsidRPr="000C7C29">
        <w:rPr>
          <w:rFonts w:ascii="Times New Roman" w:hAnsi="Times New Roman"/>
          <w:b/>
        </w:rPr>
        <w:t>(7)</w:t>
      </w:r>
      <w:r w:rsidRPr="000C7C29">
        <w:rPr>
          <w:rFonts w:ascii="Times New Roman" w:hAnsi="Times New Roman"/>
        </w:rPr>
        <w:t xml:space="preserve"> Atribuţiile comisiei </w:t>
      </w:r>
      <w:r w:rsidR="008A6C09">
        <w:rPr>
          <w:rFonts w:ascii="Times New Roman" w:hAnsi="Times New Roman"/>
        </w:rPr>
        <w:t xml:space="preserve">de </w:t>
      </w:r>
      <w:r w:rsidRPr="000C7C29">
        <w:rPr>
          <w:rFonts w:ascii="Times New Roman" w:hAnsi="Times New Roman"/>
        </w:rPr>
        <w:t xml:space="preserve">soluţionare a cererilor de rectificare sunt următoarele, dar fără a se limita la acestea: </w:t>
      </w:r>
    </w:p>
    <w:p w14:paraId="0D8BC5AF"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acordarea lămuririlor necesare contestatarilor; </w:t>
      </w:r>
    </w:p>
    <w:p w14:paraId="462B7BA7"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înregistrarea cererilor de rectificare şi a contestaţiilor; </w:t>
      </w:r>
    </w:p>
    <w:p w14:paraId="0D338E89"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marcarea imobilelor contestate în documentele cadastrale; </w:t>
      </w:r>
    </w:p>
    <w:p w14:paraId="0DEFE195"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analiza documentelor depuse de contestatari; </w:t>
      </w:r>
    </w:p>
    <w:p w14:paraId="46ADD35E"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verificarea în teren a imobilelor contestate, dacă se consideră necesar; </w:t>
      </w:r>
    </w:p>
    <w:p w14:paraId="15928682"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întocmirea procesului-verbal de soluţionare a cererilor de rectificare; </w:t>
      </w:r>
    </w:p>
    <w:p w14:paraId="313ED609"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 întocmirea unui tabel centralizator, care conţine imobilele care trebuie rectificate sau actualizate de către Prestator. </w:t>
      </w:r>
    </w:p>
    <w:p w14:paraId="52A5E292" w14:textId="16A94C85"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(8)</w:t>
      </w:r>
      <w:r w:rsidR="00CE2E1B">
        <w:rPr>
          <w:rFonts w:ascii="Times New Roman" w:hAnsi="Times New Roman"/>
        </w:rPr>
        <w:t xml:space="preserve"> </w:t>
      </w:r>
      <w:r w:rsidRPr="000C7C29">
        <w:rPr>
          <w:rFonts w:ascii="Times New Roman" w:hAnsi="Times New Roman"/>
        </w:rPr>
        <w:t xml:space="preserve">Înregistrarea cererilor de rectificare se va face într-un registru ținut în format letric sau digital, întocmit în acest scop, ce cuprinde rubricile: data depunerii cererii, numele şi prenumele contestatarului, adresa acestuia, identificatorul imobilului contestat din documentele tehnice publicate, obiectul cererii, numele posesorului contestat după caz și eventuale menţiuni. </w:t>
      </w:r>
    </w:p>
    <w:p w14:paraId="40F1E9EF"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(9)</w:t>
      </w:r>
      <w:r w:rsidRPr="000C7C29">
        <w:rPr>
          <w:rFonts w:ascii="Times New Roman" w:hAnsi="Times New Roman"/>
        </w:rPr>
        <w:t xml:space="preserve"> Separat de registrul cererilor de rectificare se va ţine un registru care conţine numele persoanelor care s-au prezentat pentru verificarea informaţiilor înregistrate în documentele tehnice publicate cu privire la imobilele pe care acestea le deţin, data prezentării, identificatorul imobilului verificat/sectorul cadastral, semnătura persoanei şi eventuale menţiuni. </w:t>
      </w:r>
    </w:p>
    <w:p w14:paraId="1BA84912" w14:textId="7D36CB81"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(10)</w:t>
      </w:r>
      <w:r w:rsidRPr="000C7C29">
        <w:rPr>
          <w:rFonts w:ascii="Times New Roman" w:hAnsi="Times New Roman"/>
        </w:rPr>
        <w:t xml:space="preserve"> Verificarea informaţiilor înregistrate se realizează prin consultarea documentelor tehnice ale cadastrului</w:t>
      </w:r>
      <w:r w:rsidR="00CB2D2B">
        <w:rPr>
          <w:rFonts w:ascii="Times New Roman" w:hAnsi="Times New Roman"/>
        </w:rPr>
        <w:t>,</w:t>
      </w:r>
      <w:r w:rsidRPr="000C7C29">
        <w:rPr>
          <w:rFonts w:ascii="Times New Roman" w:hAnsi="Times New Roman"/>
        </w:rPr>
        <w:t xml:space="preserve"> precum şi prin punerea la dispoziţia persoanelor interesate, prin intermediul reprezentanţilor UAT, a datelor despre imobil. </w:t>
      </w:r>
    </w:p>
    <w:p w14:paraId="220809D0"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(11)</w:t>
      </w:r>
      <w:r w:rsidRPr="000C7C29">
        <w:rPr>
          <w:rFonts w:ascii="Times New Roman" w:hAnsi="Times New Roman"/>
        </w:rPr>
        <w:t xml:space="preserve">  Soluţionarea cererilor de rectificare se realizează în perioada afişării publice, dar nu mai târziu de 90 de zile de la data finalizării perioadei de afişare.</w:t>
      </w:r>
    </w:p>
    <w:p w14:paraId="296D34F9"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(12)</w:t>
      </w:r>
      <w:r w:rsidRPr="000C7C29">
        <w:rPr>
          <w:rFonts w:ascii="Times New Roman" w:hAnsi="Times New Roman"/>
        </w:rPr>
        <w:t xml:space="preserve"> Comisia se convoacă la sediul primăriei sau la sediul OCPI de către președintele comisiei ori de câte ori este nevoie. </w:t>
      </w:r>
    </w:p>
    <w:p w14:paraId="5D960813"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(13)</w:t>
      </w:r>
      <w:r w:rsidRPr="000C7C29">
        <w:rPr>
          <w:rFonts w:ascii="Times New Roman" w:hAnsi="Times New Roman"/>
        </w:rPr>
        <w:t xml:space="preserve"> Cererile de rectificare se soluționează cu votul majorității simple a membrilor, iar în caz de paritate a voturilor, ori de divergență a soluțiilor, votul președintelui Comisiei este decisiv. </w:t>
      </w:r>
    </w:p>
    <w:p w14:paraId="5FC0B603" w14:textId="53D11BAA"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(14)</w:t>
      </w:r>
      <w:r w:rsidRPr="000C7C29">
        <w:rPr>
          <w:rFonts w:ascii="Times New Roman" w:hAnsi="Times New Roman"/>
        </w:rPr>
        <w:t xml:space="preserve"> Cererile de rectific</w:t>
      </w:r>
      <w:r w:rsidR="00B03BB2">
        <w:rPr>
          <w:rFonts w:ascii="Times New Roman" w:hAnsi="Times New Roman"/>
        </w:rPr>
        <w:t>are se soluționează prin proces-</w:t>
      </w:r>
      <w:r w:rsidRPr="000C7C29">
        <w:rPr>
          <w:rFonts w:ascii="Times New Roman" w:hAnsi="Times New Roman"/>
        </w:rPr>
        <w:t>verbal care se comunică în condiţiile Codului de proce</w:t>
      </w:r>
      <w:r w:rsidR="00B03BB2">
        <w:rPr>
          <w:rFonts w:ascii="Times New Roman" w:hAnsi="Times New Roman"/>
        </w:rPr>
        <w:t>dură civilă. Modelul procesului-</w:t>
      </w:r>
      <w:r w:rsidRPr="000C7C29">
        <w:rPr>
          <w:rFonts w:ascii="Times New Roman" w:hAnsi="Times New Roman"/>
        </w:rPr>
        <w:t>verbal de soluţionare a cererilor de rectificare este prezentat în Anexa nr. 9.</w:t>
      </w:r>
    </w:p>
    <w:p w14:paraId="7F138D9E"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(15)</w:t>
      </w:r>
      <w:r w:rsidRPr="000C7C29">
        <w:rPr>
          <w:rFonts w:ascii="Times New Roman" w:hAnsi="Times New Roman"/>
        </w:rPr>
        <w:t xml:space="preserve"> Împotriva procesului-verbal se poate formula plângere la judecătoria în a cărei rază de competenţă se află imobilul, în termen de 15 zile de la comunicare. </w:t>
      </w:r>
    </w:p>
    <w:p w14:paraId="2C2CE242" w14:textId="181F3D20"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lastRenderedPageBreak/>
        <w:t xml:space="preserve">   </w:t>
      </w:r>
      <w:r w:rsidRPr="000C7C29">
        <w:rPr>
          <w:rFonts w:ascii="Times New Roman" w:hAnsi="Times New Roman"/>
          <w:b/>
        </w:rPr>
        <w:t xml:space="preserve">(16) </w:t>
      </w:r>
      <w:r w:rsidRPr="000C7C29">
        <w:rPr>
          <w:rFonts w:ascii="Times New Roman" w:hAnsi="Times New Roman"/>
        </w:rPr>
        <w:t>În cazul în care soluţionarea unei cereri de rectificare implică modificări şi ale altor imobile, datele asociate acestor imobile se actualizează sau corectează, după caz. În aceste situaţii</w:t>
      </w:r>
      <w:r w:rsidR="00B03BB2">
        <w:rPr>
          <w:rFonts w:ascii="Times New Roman" w:hAnsi="Times New Roman"/>
        </w:rPr>
        <w:t>,</w:t>
      </w:r>
      <w:r w:rsidRPr="000C7C29">
        <w:rPr>
          <w:rFonts w:ascii="Times New Roman" w:hAnsi="Times New Roman"/>
        </w:rPr>
        <w:t xml:space="preserve"> prin procesul-verbal de soluţionare a cererii de rectificare, care se comunică tuturor părţilor implicate, se dispune actualizarea/corectarea datelor referitoare la imobilele afectate. </w:t>
      </w:r>
    </w:p>
    <w:p w14:paraId="50F0BB31" w14:textId="77777777" w:rsidR="000C7C29" w:rsidRP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 xml:space="preserve">(17) </w:t>
      </w:r>
      <w:r w:rsidRPr="000C7C29">
        <w:rPr>
          <w:rFonts w:ascii="Times New Roman" w:hAnsi="Times New Roman"/>
        </w:rPr>
        <w:t xml:space="preserve">Cererile de rectificare, actele doveditoare şi procesul-verbal de soluţionare a cererilor de rectificare, se scanează (cu rezoluţia 200 dpi, alb-negru) şi se predau Prestatorului în format .pdf, în vederea actualizării documentelor tehnice şi a fişierelor .cgxml. </w:t>
      </w:r>
    </w:p>
    <w:p w14:paraId="5CB035C6" w14:textId="3E4A3000" w:rsidR="000C7C29" w:rsidRDefault="000C7C29" w:rsidP="000C7C29">
      <w:pPr>
        <w:tabs>
          <w:tab w:val="left" w:pos="720"/>
          <w:tab w:val="left" w:pos="1260"/>
        </w:tabs>
        <w:spacing w:line="360" w:lineRule="auto"/>
        <w:jc w:val="both"/>
        <w:rPr>
          <w:rFonts w:ascii="Times New Roman" w:hAnsi="Times New Roman"/>
        </w:rPr>
      </w:pPr>
      <w:r w:rsidRPr="000C7C29">
        <w:rPr>
          <w:rFonts w:ascii="Times New Roman" w:hAnsi="Times New Roman"/>
        </w:rPr>
        <w:t xml:space="preserve">   </w:t>
      </w:r>
      <w:r w:rsidRPr="000C7C29">
        <w:rPr>
          <w:rFonts w:ascii="Times New Roman" w:hAnsi="Times New Roman"/>
          <w:b/>
        </w:rPr>
        <w:t>(18)</w:t>
      </w:r>
      <w:r w:rsidRPr="000C7C29">
        <w:rPr>
          <w:rFonts w:ascii="Times New Roman" w:hAnsi="Times New Roman"/>
        </w:rPr>
        <w:t xml:space="preserve"> Cererile de rectificare, procesul-verbal de soluţionare şi registrul cererilor de rectificare se arhivează împreună cu documentele tehnice ale cadastrului.</w:t>
      </w:r>
    </w:p>
    <w:p w14:paraId="6F0BC3EB" w14:textId="54D9887F" w:rsidR="000C7C29" w:rsidRPr="00CE2E1B" w:rsidRDefault="00CE2E1B" w:rsidP="00855161">
      <w:pPr>
        <w:tabs>
          <w:tab w:val="left" w:pos="720"/>
          <w:tab w:val="left" w:pos="1260"/>
        </w:tabs>
        <w:spacing w:line="360" w:lineRule="auto"/>
        <w:jc w:val="both"/>
        <w:rPr>
          <w:rFonts w:ascii="Times New Roman" w:hAnsi="Times New Roman"/>
          <w:b/>
        </w:rPr>
      </w:pPr>
      <w:r w:rsidRPr="00D92600">
        <w:rPr>
          <w:rFonts w:ascii="Times New Roman" w:hAnsi="Times New Roman"/>
          <w:b/>
        </w:rPr>
        <w:t>6.</w:t>
      </w:r>
      <w:r>
        <w:rPr>
          <w:rFonts w:ascii="Times New Roman" w:hAnsi="Times New Roman"/>
        </w:rPr>
        <w:t xml:space="preserve"> </w:t>
      </w:r>
      <w:r w:rsidRPr="00CE2E1B">
        <w:rPr>
          <w:rFonts w:ascii="Times New Roman" w:hAnsi="Times New Roman"/>
          <w:b/>
        </w:rPr>
        <w:t>L</w:t>
      </w:r>
      <w:r>
        <w:rPr>
          <w:rFonts w:ascii="Times New Roman" w:hAnsi="Times New Roman"/>
          <w:b/>
        </w:rPr>
        <w:t xml:space="preserve">a articolul 53 </w:t>
      </w:r>
      <w:r w:rsidR="00E63720">
        <w:rPr>
          <w:rFonts w:ascii="Times New Roman" w:hAnsi="Times New Roman"/>
          <w:b/>
        </w:rPr>
        <w:t xml:space="preserve">se introduce alineatul (14), iar </w:t>
      </w:r>
      <w:r w:rsidR="00E36236">
        <w:rPr>
          <w:rFonts w:ascii="Times New Roman" w:hAnsi="Times New Roman"/>
          <w:b/>
        </w:rPr>
        <w:t xml:space="preserve">la </w:t>
      </w:r>
      <w:r>
        <w:rPr>
          <w:rFonts w:ascii="Times New Roman" w:hAnsi="Times New Roman"/>
          <w:b/>
        </w:rPr>
        <w:t>alineatul</w:t>
      </w:r>
      <w:r w:rsidRPr="00CE2E1B">
        <w:rPr>
          <w:rFonts w:ascii="Times New Roman" w:hAnsi="Times New Roman"/>
          <w:b/>
        </w:rPr>
        <w:t xml:space="preserve"> (</w:t>
      </w:r>
      <w:r>
        <w:rPr>
          <w:rFonts w:ascii="Times New Roman" w:hAnsi="Times New Roman"/>
          <w:b/>
        </w:rPr>
        <w:t>5</w:t>
      </w:r>
      <w:r w:rsidRPr="00CE2E1B">
        <w:rPr>
          <w:rFonts w:ascii="Times New Roman" w:hAnsi="Times New Roman"/>
          <w:b/>
        </w:rPr>
        <w:t>) T</w:t>
      </w:r>
      <w:r>
        <w:rPr>
          <w:rFonts w:ascii="Times New Roman" w:hAnsi="Times New Roman"/>
          <w:b/>
        </w:rPr>
        <w:t>abele</w:t>
      </w:r>
      <w:r w:rsidRPr="00CE2E1B">
        <w:rPr>
          <w:rFonts w:ascii="Times New Roman" w:hAnsi="Times New Roman"/>
          <w:b/>
        </w:rPr>
        <w:t>l</w:t>
      </w:r>
      <w:r>
        <w:rPr>
          <w:rFonts w:ascii="Times New Roman" w:hAnsi="Times New Roman"/>
          <w:b/>
        </w:rPr>
        <w:t>e</w:t>
      </w:r>
      <w:r w:rsidRPr="00CE2E1B">
        <w:rPr>
          <w:rFonts w:ascii="Times New Roman" w:hAnsi="Times New Roman"/>
          <w:b/>
        </w:rPr>
        <w:t xml:space="preserve"> nr. 1 și 2 se modifică astfel: </w:t>
      </w:r>
    </w:p>
    <w:p w14:paraId="31884811" w14:textId="7DE97B3A" w:rsidR="00026C0C" w:rsidRDefault="00CE2E1B" w:rsidP="00026C0C">
      <w:pPr>
        <w:spacing w:line="360" w:lineRule="auto"/>
        <w:jc w:val="center"/>
        <w:rPr>
          <w:rFonts w:ascii="Times New Roman" w:hAnsi="Times New Roman"/>
          <w:color w:val="000000"/>
        </w:rPr>
      </w:pPr>
      <w:r>
        <w:rPr>
          <w:rFonts w:ascii="Times New Roman" w:hAnsi="Times New Roman"/>
          <w:color w:val="000000"/>
        </w:rPr>
        <w:t>”</w:t>
      </w:r>
      <w:r w:rsidR="00D9594D" w:rsidRPr="007F1B29">
        <w:rPr>
          <w:rFonts w:ascii="Times New Roman" w:hAnsi="Times New Roman"/>
          <w:color w:val="000000"/>
        </w:rPr>
        <w:t>Tabel nr. 1 Activităţ</w:t>
      </w:r>
      <w:r w:rsidR="00026C0C" w:rsidRPr="007F1B29">
        <w:rPr>
          <w:rFonts w:ascii="Times New Roman" w:hAnsi="Times New Roman"/>
          <w:color w:val="000000"/>
        </w:rPr>
        <w:t>i pentru lucrări realizate la nivel de UAT</w:t>
      </w:r>
    </w:p>
    <w:tbl>
      <w:tblPr>
        <w:tblW w:w="8640" w:type="dxa"/>
        <w:jc w:val="center"/>
        <w:tblCellMar>
          <w:top w:w="15" w:type="dxa"/>
          <w:left w:w="15" w:type="dxa"/>
          <w:bottom w:w="15" w:type="dxa"/>
          <w:right w:w="15" w:type="dxa"/>
        </w:tblCellMar>
        <w:tblLook w:val="04A0" w:firstRow="1" w:lastRow="0" w:firstColumn="1" w:lastColumn="0" w:noHBand="0" w:noVBand="1"/>
      </w:tblPr>
      <w:tblGrid>
        <w:gridCol w:w="14"/>
        <w:gridCol w:w="792"/>
        <w:gridCol w:w="4106"/>
        <w:gridCol w:w="1851"/>
        <w:gridCol w:w="1877"/>
      </w:tblGrid>
      <w:tr w:rsidR="00DE02DB" w:rsidRPr="00DE02DB" w14:paraId="5D132AC1" w14:textId="77777777" w:rsidTr="00DE02DB">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2B9BA60" w14:textId="77777777" w:rsidR="00DE02DB" w:rsidRPr="00DE02DB" w:rsidRDefault="00DE02DB" w:rsidP="00434AB8">
            <w:pPr>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2A2FB491" w14:textId="77777777" w:rsidR="00DE02DB" w:rsidRPr="00DE02DB" w:rsidRDefault="00DE02DB" w:rsidP="00434AB8">
            <w:pPr>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032EE14B" w14:textId="77777777" w:rsidR="00DE02DB" w:rsidRPr="00DE02DB" w:rsidRDefault="00DE02DB" w:rsidP="00434AB8">
            <w:pPr>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3885B0B8" w14:textId="77777777" w:rsidR="00DE02DB" w:rsidRPr="00DE02DB" w:rsidRDefault="00DE02DB" w:rsidP="00434AB8">
            <w:pPr>
              <w:jc w:val="both"/>
              <w:rPr>
                <w:rFonts w:ascii="Times New Roman" w:hAnsi="Times New Roman"/>
              </w:rPr>
            </w:pPr>
          </w:p>
        </w:tc>
        <w:tc>
          <w:tcPr>
            <w:tcW w:w="1877" w:type="dxa"/>
            <w:tcBorders>
              <w:top w:val="nil"/>
              <w:left w:val="nil"/>
              <w:bottom w:val="nil"/>
              <w:right w:val="nil"/>
            </w:tcBorders>
            <w:tcMar>
              <w:top w:w="0" w:type="dxa"/>
              <w:left w:w="45" w:type="dxa"/>
              <w:bottom w:w="0" w:type="dxa"/>
              <w:right w:w="45" w:type="dxa"/>
            </w:tcMar>
            <w:vAlign w:val="center"/>
            <w:hideMark/>
          </w:tcPr>
          <w:p w14:paraId="7BD95EB4" w14:textId="77777777" w:rsidR="00DE02DB" w:rsidRPr="00DE02DB" w:rsidRDefault="00DE02DB" w:rsidP="00434AB8">
            <w:pPr>
              <w:jc w:val="both"/>
              <w:rPr>
                <w:rFonts w:ascii="Times New Roman" w:hAnsi="Times New Roman"/>
              </w:rPr>
            </w:pPr>
          </w:p>
        </w:tc>
      </w:tr>
      <w:tr w:rsidR="00DE02DB" w:rsidRPr="00DE02DB" w14:paraId="7968751A" w14:textId="77777777" w:rsidTr="00DE02D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35C289F" w14:textId="77777777" w:rsidR="00DE02DB" w:rsidRPr="00DE02DB" w:rsidRDefault="00DE02DB" w:rsidP="00434AB8">
            <w:pPr>
              <w:jc w:val="both"/>
              <w:rPr>
                <w:rFonts w:ascii="Times New Roman" w:hAnsi="Times New Roman"/>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8F34ED"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Nr. crt.</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EE47C8"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Descriere activitate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449BC6"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Responsabil de activitate</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18C5C8"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Durata estimată a activităţii(zile)</w:t>
            </w:r>
          </w:p>
        </w:tc>
      </w:tr>
      <w:tr w:rsidR="00DE02DB" w:rsidRPr="00DE02DB" w14:paraId="3F842B51" w14:textId="77777777" w:rsidTr="00DE02D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761526B"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BA3A2F9"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1</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FAFE49A"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Realizare Livrare 1 "Raport Preliminar"</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9E1BFFC"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Prestator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8F10CC"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25</w:t>
            </w:r>
          </w:p>
        </w:tc>
      </w:tr>
      <w:tr w:rsidR="00DE02DB" w:rsidRPr="00DE02DB" w14:paraId="5DB2B0AF" w14:textId="77777777" w:rsidTr="00DE02D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C7E87A9"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D2731F1"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2</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3B3B255"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Verificarea şi recepţia Livrării 1 "Raport Preliminar"</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CD412B"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Achizitor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049E3BD"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10</w:t>
            </w:r>
          </w:p>
        </w:tc>
      </w:tr>
      <w:tr w:rsidR="00DE02DB" w:rsidRPr="00DE02DB" w14:paraId="4F475DD6" w14:textId="77777777" w:rsidTr="00DE02D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B31207D"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6B81901"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3</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A3FAAE"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Acceptanţă Livrare 1 "Raport Preliminar"</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0D4AB58"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Achizitor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BE2968"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5</w:t>
            </w:r>
          </w:p>
        </w:tc>
      </w:tr>
      <w:tr w:rsidR="00DE02DB" w:rsidRPr="00DE02DB" w14:paraId="1A6538AA" w14:textId="77777777" w:rsidTr="00DE02DB">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7FE7B986"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C54143"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4</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565A3A5"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Derularea lucrărilor de specialitate şi realizare Livrare 2, care conţine 2 sublivrări: Sublivrarea 2.1 - Plan cadastral preliminar al intravilanului</w:t>
            </w:r>
            <w:r w:rsidRPr="00DE02DB">
              <w:rPr>
                <w:rFonts w:ascii="Times New Roman" w:hAnsi="Times New Roman"/>
                <w:color w:val="000000"/>
              </w:rPr>
              <w:br/>
              <w:t>Sublivrarea 2.2 - Documente tehnice ale cadastrului spre publicare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743D7F9"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Prestator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0C11591"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240 - 500</w:t>
            </w:r>
          </w:p>
        </w:tc>
      </w:tr>
      <w:tr w:rsidR="00DE02DB" w:rsidRPr="00DE02DB" w14:paraId="2A2C08A0" w14:textId="77777777" w:rsidTr="00DE02DB">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383B9532"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0D764EC"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5</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2478FB2"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Verificarea şi recepţia Livrării 2, care include:</w:t>
            </w:r>
            <w:r w:rsidRPr="00DE02DB">
              <w:rPr>
                <w:rFonts w:ascii="Times New Roman" w:hAnsi="Times New Roman"/>
                <w:color w:val="000000"/>
              </w:rPr>
              <w:br/>
              <w:t>- Verificarea şi recepţia Sublivrării 2.1 - Plan cadastral preliminar al intravilanului</w:t>
            </w:r>
            <w:r w:rsidRPr="00DE02DB">
              <w:rPr>
                <w:rFonts w:ascii="Times New Roman" w:hAnsi="Times New Roman"/>
                <w:color w:val="000000"/>
              </w:rPr>
              <w:br/>
              <w:t>- Verificarea şi recepţia Sublivrării 2.2 -</w:t>
            </w:r>
            <w:r w:rsidRPr="00DE02DB">
              <w:rPr>
                <w:rFonts w:ascii="Times New Roman" w:hAnsi="Times New Roman"/>
                <w:color w:val="000000"/>
              </w:rPr>
              <w:br/>
              <w:t>Documente tehnice ale cadastrului spre publicare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6070F6"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OCPI</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4DA6A47"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10</w:t>
            </w:r>
            <w:r w:rsidRPr="00DE02DB">
              <w:rPr>
                <w:rFonts w:ascii="Times New Roman" w:hAnsi="Times New Roman"/>
                <w:color w:val="000000"/>
              </w:rPr>
              <w:br/>
              <w:t>40 - 100</w:t>
            </w:r>
          </w:p>
        </w:tc>
      </w:tr>
      <w:tr w:rsidR="00DE02DB" w:rsidRPr="00DE02DB" w14:paraId="29757A1A" w14:textId="77777777" w:rsidTr="00DE02DB">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14:paraId="7653AC00"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2FA7FF4"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6</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F0B622B"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Acceptanţa</w:t>
            </w:r>
            <w:r w:rsidRPr="00DE02DB">
              <w:rPr>
                <w:rFonts w:ascii="Times New Roman" w:hAnsi="Times New Roman"/>
                <w:color w:val="000000"/>
              </w:rPr>
              <w:br/>
              <w:t>- Sublivrării 2.1 - Plan cadastral preliminar al intravilanului</w:t>
            </w:r>
            <w:r w:rsidRPr="00DE02DB">
              <w:rPr>
                <w:rFonts w:ascii="Times New Roman" w:hAnsi="Times New Roman"/>
                <w:color w:val="000000"/>
              </w:rPr>
              <w:br/>
              <w:t>- Sublivrării 2.2 - Documente tehnice ale cadastrului spre publicare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C2041B"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Achizitor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2473A5"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5</w:t>
            </w:r>
            <w:r w:rsidRPr="00DE02DB">
              <w:rPr>
                <w:rFonts w:ascii="Times New Roman" w:hAnsi="Times New Roman"/>
                <w:color w:val="000000"/>
              </w:rPr>
              <w:br/>
              <w:t>5/livrare/livrare parţială</w:t>
            </w:r>
          </w:p>
        </w:tc>
      </w:tr>
      <w:tr w:rsidR="00DE02DB" w:rsidRPr="00DE02DB" w14:paraId="5C3B693F" w14:textId="77777777" w:rsidTr="00DE02D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ADA0659"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324213"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7</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81DA027"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Pregătirea publicării documentelor tehnice ale cadastrului</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395DC6D"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Primărie, OCPI</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735F66D"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7</w:t>
            </w:r>
          </w:p>
        </w:tc>
      </w:tr>
      <w:tr w:rsidR="00DE02DB" w:rsidRPr="00DE02DB" w14:paraId="1A30EDFD" w14:textId="77777777" w:rsidTr="00DE02D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E4171D2"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FB8809F"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8</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2B2D00"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 xml:space="preserve">Publicarea documentelor tehnice ale cadastrului şi primirea cererilor de </w:t>
            </w:r>
            <w:r w:rsidRPr="00DE02DB">
              <w:rPr>
                <w:rFonts w:ascii="Times New Roman" w:hAnsi="Times New Roman"/>
                <w:color w:val="000000"/>
              </w:rPr>
              <w:lastRenderedPageBreak/>
              <w:t>rectificare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76A3FA7"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lastRenderedPageBreak/>
              <w:t>Primărie, OCPI</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18BDA9"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60</w:t>
            </w:r>
          </w:p>
        </w:tc>
      </w:tr>
      <w:tr w:rsidR="00DE02DB" w:rsidRPr="00DE02DB" w14:paraId="6E86A511" w14:textId="77777777" w:rsidTr="00DE02DB">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14:paraId="6226C478"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44C2D54"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9</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9739B0C"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Soluţionarea cererilor de rectificare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31009A7" w14:textId="77777777" w:rsidR="00DE02DB" w:rsidRPr="00DE02DB" w:rsidRDefault="00DE02DB" w:rsidP="00434AB8">
            <w:pPr>
              <w:jc w:val="both"/>
              <w:rPr>
                <w:rFonts w:ascii="Times New Roman" w:hAnsi="Times New Roman"/>
                <w:color w:val="000000"/>
              </w:rPr>
            </w:pPr>
            <w:r w:rsidRPr="00DE02DB">
              <w:rPr>
                <w:rFonts w:ascii="Times New Roman" w:hAnsi="Times New Roman"/>
                <w:b/>
                <w:color w:val="000000"/>
              </w:rPr>
              <w:t>OCPI, Prestator, UAT prin reprezentanți desemnați</w:t>
            </w:r>
            <w:r w:rsidRPr="00DE02DB">
              <w:rPr>
                <w:rFonts w:ascii="Times New Roman" w:hAnsi="Times New Roman"/>
                <w:color w:val="000000"/>
              </w:rPr>
              <w:t xml:space="preserve"> în </w:t>
            </w:r>
            <w:r w:rsidRPr="00DE02DB">
              <w:rPr>
                <w:rFonts w:ascii="Times New Roman" w:hAnsi="Times New Roman"/>
                <w:b/>
                <w:color w:val="000000"/>
              </w:rPr>
              <w:t>Comisia de soluționare a cererilor de rectificare</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94F33E4" w14:textId="77777777" w:rsidR="00DE02DB" w:rsidRPr="00DE02DB" w:rsidRDefault="00DE02DB" w:rsidP="00DE02DB">
            <w:pPr>
              <w:jc w:val="center"/>
              <w:rPr>
                <w:rFonts w:ascii="Times New Roman" w:hAnsi="Times New Roman"/>
                <w:b/>
                <w:color w:val="000000"/>
              </w:rPr>
            </w:pPr>
            <w:r w:rsidRPr="00DE02DB">
              <w:rPr>
                <w:rFonts w:ascii="Times New Roman" w:hAnsi="Times New Roman"/>
                <w:b/>
                <w:color w:val="000000"/>
              </w:rPr>
              <w:t>90</w:t>
            </w:r>
          </w:p>
        </w:tc>
      </w:tr>
      <w:tr w:rsidR="00DE02DB" w:rsidRPr="00DE02DB" w14:paraId="30334D5C" w14:textId="77777777" w:rsidTr="00DE02DB">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3E77651A"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6E6DE4"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10</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7A7654"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Actualizarea documentelor tehnice în urma soluţionării cererilor de rectificare şi realizare Livrare 3 "Documente tehnice ale cadastrului finale"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1A5EB1"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Prestator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7AF6E9D"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30</w:t>
            </w:r>
          </w:p>
        </w:tc>
      </w:tr>
      <w:tr w:rsidR="00DE02DB" w:rsidRPr="00DE02DB" w14:paraId="2A813082" w14:textId="77777777" w:rsidTr="00DE02D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B2B9179"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1789AA3"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11</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AD12439"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Verificarea şi recepţia Livrării 3 "Documente tehnice ale cadastrului finale"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46783B6"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OCPI</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234B143"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25</w:t>
            </w:r>
          </w:p>
        </w:tc>
      </w:tr>
      <w:tr w:rsidR="00DE02DB" w:rsidRPr="00DE02DB" w14:paraId="2B917459" w14:textId="77777777" w:rsidTr="00DE02DB">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392EA48C" w14:textId="77777777" w:rsidR="00DE02DB" w:rsidRPr="00DE02DB" w:rsidRDefault="00DE02DB" w:rsidP="00434AB8">
            <w:pPr>
              <w:jc w:val="both"/>
              <w:rPr>
                <w:rFonts w:ascii="Times New Roman" w:hAnsi="Times New Roman"/>
                <w:color w:val="000000"/>
              </w:rPr>
            </w:pPr>
          </w:p>
        </w:tc>
        <w:tc>
          <w:tcPr>
            <w:tcW w:w="7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6B66F9"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12</w:t>
            </w:r>
          </w:p>
        </w:tc>
        <w:tc>
          <w:tcPr>
            <w:tcW w:w="4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C5A4FAD"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Acceptanţa Livrării 3 "Documente tehnice ale cadastrului finale"</w:t>
            </w:r>
          </w:p>
        </w:tc>
        <w:tc>
          <w:tcPr>
            <w:tcW w:w="18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FAF64EF" w14:textId="77777777" w:rsidR="00DE02DB" w:rsidRPr="00DE02DB" w:rsidRDefault="00DE02DB" w:rsidP="00434AB8">
            <w:pPr>
              <w:jc w:val="both"/>
              <w:rPr>
                <w:rFonts w:ascii="Times New Roman" w:hAnsi="Times New Roman"/>
                <w:color w:val="000000"/>
              </w:rPr>
            </w:pPr>
            <w:r w:rsidRPr="00DE02DB">
              <w:rPr>
                <w:rFonts w:ascii="Times New Roman" w:hAnsi="Times New Roman"/>
                <w:color w:val="000000"/>
              </w:rPr>
              <w:t>Achizitor</w:t>
            </w:r>
          </w:p>
        </w:tc>
        <w:tc>
          <w:tcPr>
            <w:tcW w:w="18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6BFEA6F" w14:textId="77777777" w:rsidR="00DE02DB" w:rsidRPr="00DE02DB" w:rsidRDefault="00DE02DB" w:rsidP="00DE02DB">
            <w:pPr>
              <w:jc w:val="center"/>
              <w:rPr>
                <w:rFonts w:ascii="Times New Roman" w:hAnsi="Times New Roman"/>
                <w:color w:val="000000"/>
              </w:rPr>
            </w:pPr>
            <w:r w:rsidRPr="00DE02DB">
              <w:rPr>
                <w:rFonts w:ascii="Times New Roman" w:hAnsi="Times New Roman"/>
                <w:color w:val="000000"/>
              </w:rPr>
              <w:t>5</w:t>
            </w:r>
          </w:p>
        </w:tc>
      </w:tr>
    </w:tbl>
    <w:p w14:paraId="47EB5A65" w14:textId="77777777" w:rsidR="00F34F8D" w:rsidRPr="007F1B29" w:rsidRDefault="00F34F8D" w:rsidP="00026C0C">
      <w:pPr>
        <w:jc w:val="center"/>
        <w:rPr>
          <w:rFonts w:ascii="Times New Roman" w:hAnsi="Times New Roman"/>
          <w:color w:val="00000A"/>
        </w:rPr>
      </w:pPr>
    </w:p>
    <w:p w14:paraId="01D6629A" w14:textId="77777777" w:rsidR="00026C0C" w:rsidRDefault="00026C0C" w:rsidP="00026C0C">
      <w:pPr>
        <w:jc w:val="center"/>
        <w:rPr>
          <w:rFonts w:ascii="Times New Roman" w:hAnsi="Times New Roman"/>
          <w:color w:val="000000"/>
        </w:rPr>
      </w:pPr>
      <w:r w:rsidRPr="007F1B29">
        <w:rPr>
          <w:rFonts w:ascii="Times New Roman" w:hAnsi="Times New Roman"/>
          <w:color w:val="00000A"/>
        </w:rPr>
        <w:t xml:space="preserve">Tabel nr. 2 </w:t>
      </w:r>
      <w:r w:rsidRPr="007F1B29">
        <w:rPr>
          <w:rFonts w:ascii="Times New Roman" w:hAnsi="Times New Roman"/>
          <w:color w:val="000000"/>
        </w:rPr>
        <w:t xml:space="preserve">Activități pentru lucrări realizate pe sectoare cadastrale  </w:t>
      </w:r>
    </w:p>
    <w:tbl>
      <w:tblPr>
        <w:tblW w:w="9132" w:type="dxa"/>
        <w:jc w:val="center"/>
        <w:tblCellMar>
          <w:left w:w="0" w:type="dxa"/>
          <w:right w:w="0" w:type="dxa"/>
        </w:tblCellMar>
        <w:tblLook w:val="04A0" w:firstRow="1" w:lastRow="0" w:firstColumn="1" w:lastColumn="0" w:noHBand="0" w:noVBand="1"/>
      </w:tblPr>
      <w:tblGrid>
        <w:gridCol w:w="15"/>
        <w:gridCol w:w="801"/>
        <w:gridCol w:w="4594"/>
        <w:gridCol w:w="1985"/>
        <w:gridCol w:w="1737"/>
      </w:tblGrid>
      <w:tr w:rsidR="00026C0C" w:rsidRPr="007F1B29" w14:paraId="1C1F984C" w14:textId="77777777" w:rsidTr="00026C0C">
        <w:trPr>
          <w:trHeight w:hRule="exact" w:val="15"/>
          <w:jc w:val="center"/>
        </w:trPr>
        <w:tc>
          <w:tcPr>
            <w:tcW w:w="15" w:type="dxa"/>
            <w:vAlign w:val="center"/>
          </w:tcPr>
          <w:p w14:paraId="18916E50" w14:textId="77777777" w:rsidR="00026C0C" w:rsidRPr="007F1B29" w:rsidRDefault="00026C0C" w:rsidP="00026C0C">
            <w:pPr>
              <w:spacing w:after="240"/>
              <w:jc w:val="both"/>
              <w:rPr>
                <w:rFonts w:ascii="Times New Roman" w:hAnsi="Times New Roman"/>
                <w:color w:val="000000"/>
              </w:rPr>
            </w:pPr>
          </w:p>
        </w:tc>
        <w:tc>
          <w:tcPr>
            <w:tcW w:w="801" w:type="dxa"/>
            <w:tcMar>
              <w:left w:w="45" w:type="dxa"/>
              <w:right w:w="45" w:type="dxa"/>
            </w:tcMar>
            <w:vAlign w:val="center"/>
          </w:tcPr>
          <w:p w14:paraId="1E41A7AB" w14:textId="77777777" w:rsidR="00026C0C" w:rsidRPr="007F1B29" w:rsidRDefault="00026C0C" w:rsidP="00026C0C">
            <w:pPr>
              <w:jc w:val="both"/>
              <w:rPr>
                <w:rFonts w:ascii="Times New Roman" w:hAnsi="Times New Roman"/>
                <w:color w:val="000000"/>
              </w:rPr>
            </w:pPr>
          </w:p>
        </w:tc>
        <w:tc>
          <w:tcPr>
            <w:tcW w:w="4594" w:type="dxa"/>
            <w:vAlign w:val="center"/>
          </w:tcPr>
          <w:p w14:paraId="57CA02DE" w14:textId="77777777" w:rsidR="00026C0C" w:rsidRPr="007F1B29" w:rsidRDefault="00026C0C" w:rsidP="00026C0C">
            <w:pPr>
              <w:jc w:val="both"/>
              <w:rPr>
                <w:rFonts w:ascii="Times New Roman" w:hAnsi="Times New Roman"/>
                <w:color w:val="000000"/>
              </w:rPr>
            </w:pPr>
          </w:p>
        </w:tc>
        <w:tc>
          <w:tcPr>
            <w:tcW w:w="1985" w:type="dxa"/>
            <w:vAlign w:val="center"/>
          </w:tcPr>
          <w:p w14:paraId="7BDCDDE1" w14:textId="77777777" w:rsidR="00026C0C" w:rsidRPr="007F1B29" w:rsidRDefault="00026C0C" w:rsidP="00026C0C">
            <w:pPr>
              <w:jc w:val="both"/>
              <w:rPr>
                <w:rFonts w:ascii="Times New Roman" w:hAnsi="Times New Roman"/>
                <w:color w:val="000000"/>
              </w:rPr>
            </w:pPr>
          </w:p>
        </w:tc>
        <w:tc>
          <w:tcPr>
            <w:tcW w:w="1737" w:type="dxa"/>
            <w:vAlign w:val="center"/>
          </w:tcPr>
          <w:p w14:paraId="6338FBC5" w14:textId="77777777" w:rsidR="00026C0C" w:rsidRPr="007F1B29" w:rsidRDefault="00026C0C" w:rsidP="00026C0C">
            <w:pPr>
              <w:jc w:val="both"/>
              <w:rPr>
                <w:rFonts w:ascii="Times New Roman" w:hAnsi="Times New Roman"/>
                <w:color w:val="000000"/>
              </w:rPr>
            </w:pPr>
          </w:p>
        </w:tc>
      </w:tr>
      <w:tr w:rsidR="00026C0C" w:rsidRPr="007F1B29" w14:paraId="1FCE410B" w14:textId="77777777" w:rsidTr="00026C0C">
        <w:trPr>
          <w:trHeight w:hRule="exact" w:val="15"/>
          <w:jc w:val="center"/>
        </w:trPr>
        <w:tc>
          <w:tcPr>
            <w:tcW w:w="15" w:type="dxa"/>
            <w:vAlign w:val="center"/>
          </w:tcPr>
          <w:p w14:paraId="03226C63" w14:textId="77777777" w:rsidR="00026C0C" w:rsidRPr="007F1B29" w:rsidRDefault="00026C0C" w:rsidP="00026C0C">
            <w:pPr>
              <w:spacing w:after="240"/>
              <w:jc w:val="both"/>
              <w:rPr>
                <w:rFonts w:ascii="Times New Roman" w:hAnsi="Times New Roman"/>
                <w:color w:val="000000"/>
              </w:rPr>
            </w:pPr>
          </w:p>
        </w:tc>
        <w:tc>
          <w:tcPr>
            <w:tcW w:w="801" w:type="dxa"/>
            <w:tcMar>
              <w:left w:w="45" w:type="dxa"/>
              <w:right w:w="45" w:type="dxa"/>
            </w:tcMar>
            <w:vAlign w:val="center"/>
          </w:tcPr>
          <w:p w14:paraId="5AA4BE19" w14:textId="77777777" w:rsidR="00026C0C" w:rsidRPr="007F1B29" w:rsidRDefault="00026C0C" w:rsidP="00026C0C">
            <w:pPr>
              <w:jc w:val="both"/>
              <w:rPr>
                <w:rFonts w:ascii="Times New Roman" w:hAnsi="Times New Roman"/>
                <w:color w:val="000000"/>
              </w:rPr>
            </w:pPr>
          </w:p>
        </w:tc>
        <w:tc>
          <w:tcPr>
            <w:tcW w:w="4594" w:type="dxa"/>
            <w:vAlign w:val="center"/>
          </w:tcPr>
          <w:p w14:paraId="7D1D9E65" w14:textId="77777777" w:rsidR="00026C0C" w:rsidRPr="007F1B29" w:rsidRDefault="00026C0C" w:rsidP="00026C0C">
            <w:pPr>
              <w:jc w:val="both"/>
              <w:rPr>
                <w:rFonts w:ascii="Times New Roman" w:hAnsi="Times New Roman"/>
                <w:color w:val="000000"/>
              </w:rPr>
            </w:pPr>
          </w:p>
        </w:tc>
        <w:tc>
          <w:tcPr>
            <w:tcW w:w="1985" w:type="dxa"/>
            <w:vAlign w:val="center"/>
          </w:tcPr>
          <w:p w14:paraId="74528D50" w14:textId="77777777" w:rsidR="00026C0C" w:rsidRPr="007F1B29" w:rsidRDefault="00026C0C" w:rsidP="00026C0C">
            <w:pPr>
              <w:jc w:val="both"/>
              <w:rPr>
                <w:rFonts w:ascii="Times New Roman" w:hAnsi="Times New Roman"/>
                <w:color w:val="000000"/>
              </w:rPr>
            </w:pPr>
          </w:p>
        </w:tc>
        <w:tc>
          <w:tcPr>
            <w:tcW w:w="1737" w:type="dxa"/>
            <w:vAlign w:val="center"/>
          </w:tcPr>
          <w:p w14:paraId="1E042363" w14:textId="77777777" w:rsidR="00026C0C" w:rsidRPr="007F1B29" w:rsidRDefault="00026C0C" w:rsidP="00026C0C">
            <w:pPr>
              <w:jc w:val="both"/>
              <w:rPr>
                <w:rFonts w:ascii="Times New Roman" w:hAnsi="Times New Roman"/>
                <w:color w:val="000000"/>
              </w:rPr>
            </w:pPr>
          </w:p>
        </w:tc>
      </w:tr>
      <w:tr w:rsidR="00026C0C" w:rsidRPr="007F1B29" w14:paraId="3AAE2484" w14:textId="77777777" w:rsidTr="00026C0C">
        <w:trPr>
          <w:trHeight w:hRule="exact" w:val="15"/>
          <w:jc w:val="center"/>
        </w:trPr>
        <w:tc>
          <w:tcPr>
            <w:tcW w:w="15" w:type="dxa"/>
            <w:vAlign w:val="center"/>
          </w:tcPr>
          <w:p w14:paraId="46A1FFB0" w14:textId="77777777" w:rsidR="00026C0C" w:rsidRPr="007F1B29" w:rsidRDefault="00026C0C" w:rsidP="00026C0C">
            <w:pPr>
              <w:spacing w:after="240"/>
              <w:jc w:val="both"/>
              <w:rPr>
                <w:rFonts w:ascii="Times New Roman" w:hAnsi="Times New Roman"/>
                <w:color w:val="000000"/>
              </w:rPr>
            </w:pPr>
          </w:p>
        </w:tc>
        <w:tc>
          <w:tcPr>
            <w:tcW w:w="801" w:type="dxa"/>
            <w:tcMar>
              <w:left w:w="45" w:type="dxa"/>
              <w:right w:w="45" w:type="dxa"/>
            </w:tcMar>
            <w:vAlign w:val="center"/>
          </w:tcPr>
          <w:p w14:paraId="4FDAE1B9" w14:textId="77777777" w:rsidR="00026C0C" w:rsidRPr="007F1B29" w:rsidRDefault="00026C0C" w:rsidP="00026C0C">
            <w:pPr>
              <w:jc w:val="both"/>
              <w:rPr>
                <w:rFonts w:ascii="Times New Roman" w:hAnsi="Times New Roman"/>
                <w:color w:val="000000"/>
              </w:rPr>
            </w:pPr>
          </w:p>
        </w:tc>
        <w:tc>
          <w:tcPr>
            <w:tcW w:w="4594" w:type="dxa"/>
            <w:vAlign w:val="center"/>
          </w:tcPr>
          <w:p w14:paraId="1B12476F" w14:textId="77777777" w:rsidR="00026C0C" w:rsidRPr="007F1B29" w:rsidRDefault="00026C0C" w:rsidP="00026C0C">
            <w:pPr>
              <w:jc w:val="both"/>
              <w:rPr>
                <w:rFonts w:ascii="Times New Roman" w:hAnsi="Times New Roman"/>
                <w:color w:val="000000"/>
              </w:rPr>
            </w:pPr>
          </w:p>
        </w:tc>
        <w:tc>
          <w:tcPr>
            <w:tcW w:w="1985" w:type="dxa"/>
            <w:vAlign w:val="center"/>
          </w:tcPr>
          <w:p w14:paraId="274B1CE8" w14:textId="77777777" w:rsidR="00026C0C" w:rsidRPr="007F1B29" w:rsidRDefault="00026C0C" w:rsidP="00026C0C">
            <w:pPr>
              <w:jc w:val="both"/>
              <w:rPr>
                <w:rFonts w:ascii="Times New Roman" w:hAnsi="Times New Roman"/>
                <w:color w:val="000000"/>
              </w:rPr>
            </w:pPr>
          </w:p>
        </w:tc>
        <w:tc>
          <w:tcPr>
            <w:tcW w:w="1737" w:type="dxa"/>
            <w:vAlign w:val="center"/>
          </w:tcPr>
          <w:p w14:paraId="07A0B0E0" w14:textId="77777777" w:rsidR="00026C0C" w:rsidRPr="007F1B29" w:rsidRDefault="00026C0C" w:rsidP="00026C0C">
            <w:pPr>
              <w:jc w:val="both"/>
              <w:rPr>
                <w:rFonts w:ascii="Times New Roman" w:hAnsi="Times New Roman"/>
                <w:color w:val="000000"/>
              </w:rPr>
            </w:pPr>
          </w:p>
        </w:tc>
      </w:tr>
      <w:tr w:rsidR="00026C0C" w:rsidRPr="007F1B29" w14:paraId="4F5DAFDD" w14:textId="77777777" w:rsidTr="00026C0C">
        <w:trPr>
          <w:trHeight w:val="380"/>
          <w:jc w:val="center"/>
        </w:trPr>
        <w:tc>
          <w:tcPr>
            <w:tcW w:w="15" w:type="dxa"/>
            <w:vMerge w:val="restart"/>
            <w:vAlign w:val="center"/>
          </w:tcPr>
          <w:p w14:paraId="45BBBD0F" w14:textId="77777777" w:rsidR="00026C0C" w:rsidRPr="007F1B29" w:rsidRDefault="00026C0C" w:rsidP="00026C0C">
            <w:pPr>
              <w:jc w:val="both"/>
              <w:rPr>
                <w:rFonts w:ascii="Times New Roman" w:hAnsi="Times New Roman"/>
                <w:color w:val="000000"/>
              </w:rPr>
            </w:pPr>
          </w:p>
        </w:tc>
        <w:tc>
          <w:tcPr>
            <w:tcW w:w="801" w:type="dxa"/>
            <w:vMerge w:val="restart"/>
            <w:tcBorders>
              <w:top w:val="single" w:sz="6" w:space="0" w:color="00000A"/>
              <w:left w:val="single" w:sz="6" w:space="0" w:color="00000A"/>
              <w:right w:val="single" w:sz="6" w:space="0" w:color="00000A"/>
            </w:tcBorders>
            <w:tcMar>
              <w:left w:w="13" w:type="dxa"/>
              <w:right w:w="45" w:type="dxa"/>
            </w:tcMar>
            <w:vAlign w:val="center"/>
          </w:tcPr>
          <w:p w14:paraId="4E50D1DF"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br/>
              <w:t xml:space="preserve">Nr. crt. </w:t>
            </w:r>
          </w:p>
        </w:tc>
        <w:tc>
          <w:tcPr>
            <w:tcW w:w="4594" w:type="dxa"/>
            <w:vMerge w:val="restart"/>
            <w:tcBorders>
              <w:top w:val="single" w:sz="6" w:space="0" w:color="00000A"/>
              <w:left w:val="single" w:sz="6" w:space="0" w:color="00000A"/>
              <w:right w:val="single" w:sz="6" w:space="0" w:color="00000A"/>
            </w:tcBorders>
            <w:tcMar>
              <w:left w:w="-7" w:type="dxa"/>
            </w:tcMar>
            <w:vAlign w:val="center"/>
          </w:tcPr>
          <w:p w14:paraId="0D9047A9"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br/>
              <w:t xml:space="preserve">Descriere activitate </w:t>
            </w:r>
          </w:p>
        </w:tc>
        <w:tc>
          <w:tcPr>
            <w:tcW w:w="1985" w:type="dxa"/>
            <w:vMerge w:val="restart"/>
            <w:tcBorders>
              <w:top w:val="single" w:sz="6" w:space="0" w:color="00000A"/>
              <w:left w:val="single" w:sz="6" w:space="0" w:color="00000A"/>
              <w:right w:val="single" w:sz="6" w:space="0" w:color="00000A"/>
            </w:tcBorders>
            <w:tcMar>
              <w:left w:w="13" w:type="dxa"/>
            </w:tcMar>
            <w:vAlign w:val="center"/>
          </w:tcPr>
          <w:p w14:paraId="7319C43B"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Responsabil de activitate </w:t>
            </w:r>
          </w:p>
        </w:tc>
        <w:tc>
          <w:tcPr>
            <w:tcW w:w="1737" w:type="dxa"/>
            <w:tcBorders>
              <w:top w:val="single" w:sz="6" w:space="0" w:color="00000A"/>
              <w:left w:val="single" w:sz="6" w:space="0" w:color="00000A"/>
              <w:bottom w:val="single" w:sz="4" w:space="0" w:color="00000A"/>
              <w:right w:val="single" w:sz="6" w:space="0" w:color="00000A"/>
            </w:tcBorders>
            <w:tcMar>
              <w:left w:w="13" w:type="dxa"/>
            </w:tcMar>
            <w:vAlign w:val="center"/>
          </w:tcPr>
          <w:p w14:paraId="3E8A0139"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Durata estimată a activităţii (zile) </w:t>
            </w:r>
          </w:p>
        </w:tc>
      </w:tr>
      <w:tr w:rsidR="00026C0C" w:rsidRPr="007F1B29" w14:paraId="3FD78A77" w14:textId="77777777" w:rsidTr="00026C0C">
        <w:trPr>
          <w:trHeight w:val="584"/>
          <w:jc w:val="center"/>
        </w:trPr>
        <w:tc>
          <w:tcPr>
            <w:tcW w:w="15" w:type="dxa"/>
            <w:vMerge/>
            <w:vAlign w:val="center"/>
          </w:tcPr>
          <w:p w14:paraId="5830880D" w14:textId="77777777" w:rsidR="00026C0C" w:rsidRPr="007F1B29" w:rsidRDefault="00026C0C" w:rsidP="00026C0C">
            <w:pPr>
              <w:jc w:val="both"/>
              <w:rPr>
                <w:rFonts w:ascii="Times New Roman" w:hAnsi="Times New Roman"/>
                <w:color w:val="000000"/>
              </w:rPr>
            </w:pPr>
          </w:p>
        </w:tc>
        <w:tc>
          <w:tcPr>
            <w:tcW w:w="801" w:type="dxa"/>
            <w:vMerge/>
            <w:tcBorders>
              <w:top w:val="single" w:sz="6" w:space="0" w:color="00000A"/>
              <w:left w:val="single" w:sz="6" w:space="0" w:color="00000A"/>
              <w:bottom w:val="single" w:sz="6" w:space="0" w:color="00000A"/>
              <w:right w:val="single" w:sz="6" w:space="0" w:color="00000A"/>
            </w:tcBorders>
            <w:tcMar>
              <w:left w:w="13" w:type="dxa"/>
              <w:right w:w="45" w:type="dxa"/>
            </w:tcMar>
            <w:vAlign w:val="center"/>
          </w:tcPr>
          <w:p w14:paraId="58E04199" w14:textId="77777777" w:rsidR="00026C0C" w:rsidRPr="007F1B29" w:rsidRDefault="00026C0C" w:rsidP="00026C0C">
            <w:pPr>
              <w:jc w:val="center"/>
              <w:rPr>
                <w:rFonts w:ascii="Times New Roman" w:hAnsi="Times New Roman"/>
                <w:color w:val="000000"/>
              </w:rPr>
            </w:pPr>
          </w:p>
        </w:tc>
        <w:tc>
          <w:tcPr>
            <w:tcW w:w="4594" w:type="dxa"/>
            <w:vMerge/>
            <w:tcBorders>
              <w:top w:val="single" w:sz="6" w:space="0" w:color="00000A"/>
              <w:left w:val="single" w:sz="6" w:space="0" w:color="00000A"/>
              <w:bottom w:val="single" w:sz="6" w:space="0" w:color="00000A"/>
              <w:right w:val="single" w:sz="6" w:space="0" w:color="00000A"/>
            </w:tcBorders>
            <w:tcMar>
              <w:left w:w="-7" w:type="dxa"/>
            </w:tcMar>
            <w:vAlign w:val="center"/>
          </w:tcPr>
          <w:p w14:paraId="2E41737C" w14:textId="77777777" w:rsidR="00026C0C" w:rsidRPr="007F1B29" w:rsidRDefault="00026C0C" w:rsidP="00026C0C">
            <w:pPr>
              <w:jc w:val="center"/>
              <w:rPr>
                <w:rFonts w:ascii="Times New Roman" w:hAnsi="Times New Roman"/>
                <w:color w:val="000000"/>
              </w:rPr>
            </w:pPr>
          </w:p>
        </w:tc>
        <w:tc>
          <w:tcPr>
            <w:tcW w:w="1985" w:type="dxa"/>
            <w:vMerge/>
            <w:tcBorders>
              <w:top w:val="single" w:sz="6" w:space="0" w:color="00000A"/>
              <w:left w:val="single" w:sz="6" w:space="0" w:color="00000A"/>
              <w:bottom w:val="single" w:sz="6" w:space="0" w:color="00000A"/>
              <w:right w:val="single" w:sz="6" w:space="0" w:color="00000A"/>
            </w:tcBorders>
            <w:tcMar>
              <w:left w:w="13" w:type="dxa"/>
            </w:tcMar>
            <w:vAlign w:val="center"/>
          </w:tcPr>
          <w:p w14:paraId="1FF81AEA" w14:textId="77777777" w:rsidR="00026C0C" w:rsidRPr="007F1B29" w:rsidRDefault="00026C0C" w:rsidP="00026C0C">
            <w:pPr>
              <w:jc w:val="center"/>
              <w:rPr>
                <w:rFonts w:ascii="Times New Roman" w:hAnsi="Times New Roman"/>
                <w:color w:val="000000"/>
              </w:rPr>
            </w:pPr>
          </w:p>
        </w:tc>
        <w:tc>
          <w:tcPr>
            <w:tcW w:w="1737" w:type="dxa"/>
            <w:tcBorders>
              <w:top w:val="single" w:sz="4" w:space="0" w:color="00000A"/>
              <w:left w:val="single" w:sz="6" w:space="0" w:color="00000A"/>
              <w:bottom w:val="single" w:sz="6" w:space="0" w:color="00000A"/>
              <w:right w:val="single" w:sz="4" w:space="0" w:color="00000A"/>
            </w:tcBorders>
            <w:tcMar>
              <w:left w:w="13" w:type="dxa"/>
            </w:tcMar>
            <w:vAlign w:val="center"/>
          </w:tcPr>
          <w:p w14:paraId="0C2D45B3"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Lucrări realizate la nivel de sector cadastral pentru un număr estimat de 2500 imobile</w:t>
            </w:r>
          </w:p>
        </w:tc>
      </w:tr>
      <w:tr w:rsidR="00026C0C" w:rsidRPr="007F1B29" w14:paraId="6CE408F7" w14:textId="77777777" w:rsidTr="00026C0C">
        <w:trPr>
          <w:trHeight w:val="390"/>
          <w:jc w:val="center"/>
        </w:trPr>
        <w:tc>
          <w:tcPr>
            <w:tcW w:w="15" w:type="dxa"/>
            <w:vAlign w:val="center"/>
          </w:tcPr>
          <w:p w14:paraId="4AE7D80A"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3B57C52F"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1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313475D7"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Derularea lucrărilor de specialitate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449983CF"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Prestator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506279B6" w14:textId="7848A910" w:rsidR="00026C0C" w:rsidRPr="007F1B29" w:rsidRDefault="00026C0C" w:rsidP="00026C0C">
            <w:pPr>
              <w:jc w:val="center"/>
              <w:rPr>
                <w:rFonts w:ascii="Times New Roman" w:hAnsi="Times New Roman"/>
                <w:color w:val="000000"/>
              </w:rPr>
            </w:pPr>
            <w:r w:rsidRPr="007F1B29">
              <w:rPr>
                <w:rFonts w:ascii="Times New Roman" w:hAnsi="Times New Roman"/>
                <w:color w:val="000000"/>
              </w:rPr>
              <w:t>60-220</w:t>
            </w:r>
          </w:p>
        </w:tc>
      </w:tr>
      <w:tr w:rsidR="00026C0C" w:rsidRPr="007F1B29" w14:paraId="7096D25C" w14:textId="77777777" w:rsidTr="00026C0C">
        <w:trPr>
          <w:trHeight w:val="765"/>
          <w:jc w:val="center"/>
        </w:trPr>
        <w:tc>
          <w:tcPr>
            <w:tcW w:w="15" w:type="dxa"/>
            <w:vAlign w:val="center"/>
          </w:tcPr>
          <w:p w14:paraId="0338E15F"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382AB3E2" w14:textId="77777777" w:rsidR="00026C0C" w:rsidRPr="007F1B29" w:rsidRDefault="00026C0C" w:rsidP="00026C0C">
            <w:pPr>
              <w:jc w:val="center"/>
              <w:rPr>
                <w:rFonts w:ascii="Times New Roman" w:hAnsi="Times New Roman"/>
                <w:color w:val="000000"/>
              </w:rPr>
            </w:pPr>
          </w:p>
          <w:p w14:paraId="5943ABAF"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2</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141E4D77" w14:textId="0F3D879C" w:rsidR="00026C0C" w:rsidRPr="007F1B29" w:rsidRDefault="00026C0C" w:rsidP="00026C0C">
            <w:pPr>
              <w:jc w:val="both"/>
              <w:rPr>
                <w:rFonts w:ascii="Times New Roman" w:hAnsi="Times New Roman"/>
                <w:color w:val="000000"/>
              </w:rPr>
            </w:pPr>
            <w:r w:rsidRPr="007F1B29">
              <w:rPr>
                <w:rFonts w:ascii="Times New Roman" w:hAnsi="Times New Roman"/>
                <w:color w:val="000000"/>
              </w:rPr>
              <w:t>Ve</w:t>
            </w:r>
            <w:r w:rsidR="00DE02DB">
              <w:rPr>
                <w:rFonts w:ascii="Times New Roman" w:hAnsi="Times New Roman"/>
                <w:color w:val="000000"/>
              </w:rPr>
              <w:t xml:space="preserve">rificarea şi recepţia Livrării </w:t>
            </w:r>
            <w:r w:rsidRPr="007F1B29">
              <w:rPr>
                <w:rFonts w:ascii="Times New Roman" w:hAnsi="Times New Roman"/>
                <w:color w:val="000000"/>
              </w:rPr>
              <w:t xml:space="preserve">- "Documente tehnice ale cadastrului spre publicare"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698E8F7E"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E2220DE" w14:textId="77777777" w:rsidR="00026C0C" w:rsidRPr="007F1B29" w:rsidRDefault="00026C0C" w:rsidP="00026C0C">
            <w:pPr>
              <w:jc w:val="center"/>
              <w:rPr>
                <w:rFonts w:ascii="Times New Roman" w:hAnsi="Times New Roman"/>
                <w:color w:val="000000"/>
              </w:rPr>
            </w:pPr>
          </w:p>
          <w:p w14:paraId="7E53D171"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50</w:t>
            </w:r>
          </w:p>
        </w:tc>
      </w:tr>
      <w:tr w:rsidR="00026C0C" w:rsidRPr="007F1B29" w14:paraId="4F9C607B" w14:textId="77777777" w:rsidTr="00026C0C">
        <w:trPr>
          <w:trHeight w:val="398"/>
          <w:jc w:val="center"/>
        </w:trPr>
        <w:tc>
          <w:tcPr>
            <w:tcW w:w="15" w:type="dxa"/>
            <w:vAlign w:val="center"/>
          </w:tcPr>
          <w:p w14:paraId="65110C6E"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5A16BF49"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3</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35B53FDE"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Acceptanţa Livrării - "Documente tehnice ale cadastrului spre publicare"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055FF427"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Achizitor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4D26411A"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7</w:t>
            </w:r>
          </w:p>
        </w:tc>
      </w:tr>
      <w:tr w:rsidR="00026C0C" w:rsidRPr="007F1B29" w14:paraId="078A6407" w14:textId="77777777" w:rsidTr="00026C0C">
        <w:trPr>
          <w:trHeight w:val="345"/>
          <w:jc w:val="center"/>
        </w:trPr>
        <w:tc>
          <w:tcPr>
            <w:tcW w:w="15" w:type="dxa"/>
            <w:vAlign w:val="center"/>
          </w:tcPr>
          <w:p w14:paraId="3D2E26F3"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2E991112"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4</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41309C62"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Pregătirea publicării documentelor tehnice ale cadastrului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00EC21F7"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Primărie, 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DDFA358"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10</w:t>
            </w:r>
          </w:p>
        </w:tc>
      </w:tr>
      <w:tr w:rsidR="00026C0C" w:rsidRPr="007F1B29" w14:paraId="06F8106F" w14:textId="77777777" w:rsidTr="00026C0C">
        <w:trPr>
          <w:trHeight w:val="555"/>
          <w:jc w:val="center"/>
        </w:trPr>
        <w:tc>
          <w:tcPr>
            <w:tcW w:w="15" w:type="dxa"/>
            <w:vAlign w:val="center"/>
          </w:tcPr>
          <w:p w14:paraId="632C25B3"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2FAF36F8" w14:textId="77777777" w:rsidR="00026C0C" w:rsidRPr="007F1B29" w:rsidRDefault="00026C0C" w:rsidP="00026C0C">
            <w:pPr>
              <w:jc w:val="center"/>
              <w:rPr>
                <w:rFonts w:ascii="Times New Roman" w:hAnsi="Times New Roman"/>
                <w:color w:val="000000"/>
              </w:rPr>
            </w:pPr>
          </w:p>
          <w:p w14:paraId="6FDC93FE"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5</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7C26778C"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Publicarea documentelor tehnice ale cadastrului şi primirea cererilor de rectificare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6AC534DC"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OCPI cu sprijinul Prestatorului și  reprezentantului UAT</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2A89D7A1" w14:textId="77777777" w:rsidR="00026C0C" w:rsidRPr="007F1B29" w:rsidRDefault="00026C0C" w:rsidP="00026C0C">
            <w:pPr>
              <w:jc w:val="center"/>
              <w:rPr>
                <w:rFonts w:ascii="Times New Roman" w:hAnsi="Times New Roman"/>
                <w:color w:val="000000"/>
              </w:rPr>
            </w:pPr>
          </w:p>
          <w:p w14:paraId="05221123"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60 </w:t>
            </w:r>
          </w:p>
        </w:tc>
      </w:tr>
      <w:tr w:rsidR="00026C0C" w:rsidRPr="007F1B29" w14:paraId="7CE30599" w14:textId="77777777" w:rsidTr="00026C0C">
        <w:trPr>
          <w:trHeight w:val="345"/>
          <w:jc w:val="center"/>
        </w:trPr>
        <w:tc>
          <w:tcPr>
            <w:tcW w:w="15" w:type="dxa"/>
            <w:vAlign w:val="center"/>
          </w:tcPr>
          <w:p w14:paraId="759B25F2"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5C0BBAE2"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6</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490D679D"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Soluţionarea cererilor de rectificare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224CC103" w14:textId="0B273D65" w:rsidR="00026C0C" w:rsidRPr="00BE2007" w:rsidRDefault="00BE2007" w:rsidP="00BE2007">
            <w:pPr>
              <w:rPr>
                <w:rFonts w:ascii="Times New Roman" w:hAnsi="Times New Roman"/>
                <w:b/>
                <w:color w:val="000000"/>
              </w:rPr>
            </w:pPr>
            <w:r w:rsidRPr="00BE2007">
              <w:rPr>
                <w:rFonts w:ascii="Times New Roman" w:hAnsi="Times New Roman"/>
                <w:b/>
                <w:color w:val="000000"/>
              </w:rPr>
              <w:t xml:space="preserve">OCPI, Prestator, UAT prin reprezentanți desemnați în Comisia de soluționare a </w:t>
            </w:r>
            <w:r w:rsidRPr="00BE2007">
              <w:rPr>
                <w:rFonts w:ascii="Times New Roman" w:hAnsi="Times New Roman"/>
                <w:b/>
                <w:color w:val="000000"/>
              </w:rPr>
              <w:lastRenderedPageBreak/>
              <w:t>cererilor de rectificare</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59554CC" w14:textId="52C9066C" w:rsidR="00026C0C" w:rsidRPr="007F1B29" w:rsidRDefault="00BE2007" w:rsidP="00026C0C">
            <w:pPr>
              <w:jc w:val="center"/>
              <w:rPr>
                <w:rFonts w:ascii="Times New Roman" w:hAnsi="Times New Roman"/>
                <w:color w:val="000000"/>
              </w:rPr>
            </w:pPr>
            <w:r w:rsidRPr="00BE2007">
              <w:rPr>
                <w:rFonts w:ascii="Times New Roman" w:hAnsi="Times New Roman"/>
                <w:b/>
                <w:color w:val="000000"/>
              </w:rPr>
              <w:lastRenderedPageBreak/>
              <w:t>90</w:t>
            </w:r>
            <w:r w:rsidR="00026C0C" w:rsidRPr="00BE2007">
              <w:rPr>
                <w:rFonts w:ascii="Times New Roman" w:hAnsi="Times New Roman"/>
                <w:b/>
                <w:color w:val="000000"/>
              </w:rPr>
              <w:t xml:space="preserve"> </w:t>
            </w:r>
          </w:p>
        </w:tc>
      </w:tr>
      <w:tr w:rsidR="00026C0C" w:rsidRPr="007F1B29" w14:paraId="6C14256C" w14:textId="77777777" w:rsidTr="00026C0C">
        <w:trPr>
          <w:trHeight w:val="765"/>
          <w:jc w:val="center"/>
        </w:trPr>
        <w:tc>
          <w:tcPr>
            <w:tcW w:w="15" w:type="dxa"/>
            <w:vAlign w:val="center"/>
          </w:tcPr>
          <w:p w14:paraId="2C5AC993"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31F3E425" w14:textId="77777777" w:rsidR="00026C0C" w:rsidRPr="007F1B29" w:rsidRDefault="00026C0C" w:rsidP="00026C0C">
            <w:pPr>
              <w:jc w:val="center"/>
              <w:rPr>
                <w:rFonts w:ascii="Times New Roman" w:hAnsi="Times New Roman"/>
                <w:color w:val="000000"/>
              </w:rPr>
            </w:pPr>
          </w:p>
          <w:p w14:paraId="74842DD0" w14:textId="77777777" w:rsidR="00026C0C" w:rsidRPr="007F1B29" w:rsidRDefault="00026C0C" w:rsidP="00026C0C">
            <w:pPr>
              <w:jc w:val="center"/>
              <w:rPr>
                <w:rFonts w:ascii="Times New Roman" w:hAnsi="Times New Roman"/>
                <w:color w:val="000000"/>
              </w:rPr>
            </w:pPr>
          </w:p>
          <w:p w14:paraId="0DDE849E"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7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2C926536"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Actualizarea documentelor tehnice în urma soluţionării cererilor de rectificare şi întocmirea ”Documentelor tehnice ale cadastrului finale"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07418ADC"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Prestator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878BCE9" w14:textId="77777777" w:rsidR="00026C0C" w:rsidRPr="007F1B29" w:rsidRDefault="00026C0C" w:rsidP="00026C0C">
            <w:pPr>
              <w:jc w:val="center"/>
              <w:rPr>
                <w:rFonts w:ascii="Times New Roman" w:hAnsi="Times New Roman"/>
                <w:color w:val="000000"/>
              </w:rPr>
            </w:pPr>
          </w:p>
          <w:p w14:paraId="4E83C1B9" w14:textId="77777777" w:rsidR="00026C0C" w:rsidRPr="007F1B29" w:rsidRDefault="00026C0C" w:rsidP="00026C0C">
            <w:pPr>
              <w:jc w:val="center"/>
              <w:rPr>
                <w:rFonts w:ascii="Times New Roman" w:hAnsi="Times New Roman"/>
                <w:color w:val="000000"/>
              </w:rPr>
            </w:pPr>
          </w:p>
          <w:p w14:paraId="2FABC793"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25</w:t>
            </w:r>
          </w:p>
        </w:tc>
      </w:tr>
      <w:tr w:rsidR="00026C0C" w:rsidRPr="007F1B29" w14:paraId="5D54BC9C" w14:textId="77777777" w:rsidTr="00026C0C">
        <w:trPr>
          <w:trHeight w:val="555"/>
          <w:jc w:val="center"/>
        </w:trPr>
        <w:tc>
          <w:tcPr>
            <w:tcW w:w="15" w:type="dxa"/>
            <w:vAlign w:val="center"/>
          </w:tcPr>
          <w:p w14:paraId="5BEC83F6"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1B8F6B95" w14:textId="77777777" w:rsidR="00026C0C" w:rsidRPr="007F1B29" w:rsidRDefault="00026C0C" w:rsidP="00026C0C">
            <w:pPr>
              <w:jc w:val="center"/>
              <w:rPr>
                <w:rFonts w:ascii="Times New Roman" w:hAnsi="Times New Roman"/>
                <w:color w:val="000000"/>
              </w:rPr>
            </w:pPr>
          </w:p>
          <w:p w14:paraId="681EE63A"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8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04733AA2"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Verificarea şi recepţia Livrării  - "Documente tehnice ale cadastrului finale"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539CFA1E"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4834439D" w14:textId="77777777" w:rsidR="00026C0C" w:rsidRPr="007F1B29" w:rsidRDefault="00026C0C" w:rsidP="00026C0C">
            <w:pPr>
              <w:jc w:val="center"/>
              <w:rPr>
                <w:rFonts w:ascii="Times New Roman" w:hAnsi="Times New Roman"/>
                <w:color w:val="000000"/>
              </w:rPr>
            </w:pPr>
          </w:p>
          <w:p w14:paraId="21ABF7F8"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15</w:t>
            </w:r>
          </w:p>
        </w:tc>
      </w:tr>
      <w:tr w:rsidR="00026C0C" w:rsidRPr="007F1B29" w14:paraId="512A02B0" w14:textId="77777777" w:rsidTr="00026C0C">
        <w:trPr>
          <w:trHeight w:val="399"/>
          <w:jc w:val="center"/>
        </w:trPr>
        <w:tc>
          <w:tcPr>
            <w:tcW w:w="15" w:type="dxa"/>
            <w:vAlign w:val="center"/>
          </w:tcPr>
          <w:p w14:paraId="16D48C82" w14:textId="77777777" w:rsidR="00026C0C" w:rsidRPr="007F1B29"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731F16EA"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 xml:space="preserve">9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0ABEF7FC"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Acceptanţa Livrării - "Documente tehnice ale cadastrului finale"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5B3C4474" w14:textId="77777777" w:rsidR="00026C0C" w:rsidRPr="007F1B29" w:rsidRDefault="00026C0C" w:rsidP="00026C0C">
            <w:pPr>
              <w:jc w:val="both"/>
              <w:rPr>
                <w:rFonts w:ascii="Times New Roman" w:hAnsi="Times New Roman"/>
                <w:color w:val="000000"/>
              </w:rPr>
            </w:pPr>
            <w:r w:rsidRPr="007F1B29">
              <w:rPr>
                <w:rFonts w:ascii="Times New Roman" w:hAnsi="Times New Roman"/>
                <w:color w:val="000000"/>
              </w:rPr>
              <w:t xml:space="preserve">Achizitor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321B020A" w14:textId="77777777" w:rsidR="00026C0C" w:rsidRPr="007F1B29" w:rsidRDefault="00026C0C" w:rsidP="00026C0C">
            <w:pPr>
              <w:jc w:val="center"/>
              <w:rPr>
                <w:rFonts w:ascii="Times New Roman" w:hAnsi="Times New Roman"/>
                <w:color w:val="000000"/>
              </w:rPr>
            </w:pPr>
            <w:r w:rsidRPr="007F1B29">
              <w:rPr>
                <w:rFonts w:ascii="Times New Roman" w:hAnsi="Times New Roman"/>
                <w:color w:val="000000"/>
              </w:rPr>
              <w:t>7</w:t>
            </w:r>
          </w:p>
        </w:tc>
      </w:tr>
    </w:tbl>
    <w:p w14:paraId="526AAF72" w14:textId="05B44B9F" w:rsidR="00CD44BA" w:rsidRDefault="00CD44BA" w:rsidP="00D92600">
      <w:pPr>
        <w:spacing w:line="360" w:lineRule="auto"/>
        <w:jc w:val="both"/>
        <w:rPr>
          <w:rFonts w:ascii="Times New Roman" w:hAnsi="Times New Roman"/>
          <w:color w:val="000000"/>
        </w:rPr>
      </w:pPr>
    </w:p>
    <w:p w14:paraId="20A1C69E" w14:textId="263974A7" w:rsidR="00EB5860" w:rsidRPr="007F1B29" w:rsidRDefault="00E63720" w:rsidP="00D92600">
      <w:pPr>
        <w:spacing w:line="360" w:lineRule="auto"/>
        <w:jc w:val="both"/>
        <w:rPr>
          <w:rFonts w:ascii="Times New Roman" w:hAnsi="Times New Roman"/>
          <w:color w:val="000000"/>
        </w:rPr>
      </w:pPr>
      <w:r w:rsidRPr="00DE02DB">
        <w:rPr>
          <w:rFonts w:ascii="Times New Roman" w:hAnsi="Times New Roman"/>
          <w:b/>
          <w:color w:val="000000"/>
        </w:rPr>
        <w:t>(14)</w:t>
      </w:r>
      <w:r>
        <w:rPr>
          <w:rFonts w:ascii="Times New Roman" w:hAnsi="Times New Roman"/>
          <w:color w:val="000000"/>
        </w:rPr>
        <w:t xml:space="preserve"> </w:t>
      </w:r>
      <w:r w:rsidR="00DE02DB">
        <w:rPr>
          <w:rFonts w:ascii="Times New Roman" w:hAnsi="Times New Roman"/>
          <w:color w:val="000000"/>
        </w:rPr>
        <w:t>Durata estimată pentru activitatea de verificare și recepție aferentă fiecărei livrări, prevăzută în tabelul nr. 1 și 2, se calculează de la data predării livrării/livrării parțiale, după caz și nu include zilele aferente verificării și recepției documentelor redepuse ca urmare a deficiențelor constatate de Comisia de recepție.</w:t>
      </w:r>
      <w:r w:rsidR="00EB5860">
        <w:rPr>
          <w:rFonts w:ascii="Times New Roman" w:hAnsi="Times New Roman"/>
          <w:color w:val="000000"/>
        </w:rPr>
        <w:t>”</w:t>
      </w:r>
    </w:p>
    <w:sectPr w:rsidR="00EB5860" w:rsidRPr="007F1B29" w:rsidSect="007E1F9A">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9756" w14:textId="77777777" w:rsidR="007A45C3" w:rsidRDefault="007A45C3">
      <w:r>
        <w:separator/>
      </w:r>
    </w:p>
  </w:endnote>
  <w:endnote w:type="continuationSeparator" w:id="0">
    <w:p w14:paraId="7B0B0E05" w14:textId="77777777" w:rsidR="007A45C3" w:rsidRDefault="007A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1523"/>
      <w:docPartObj>
        <w:docPartGallery w:val="Page Numbers (Bottom of Page)"/>
        <w:docPartUnique/>
      </w:docPartObj>
    </w:sdtPr>
    <w:sdtEndPr>
      <w:rPr>
        <w:rFonts w:ascii="Times New Roman" w:hAnsi="Times New Roman"/>
        <w:noProof/>
      </w:rPr>
    </w:sdtEndPr>
    <w:sdtContent>
      <w:p w14:paraId="7171B09C" w14:textId="77777777" w:rsidR="00FD58AC" w:rsidRPr="003A1EA8" w:rsidRDefault="00FD58AC">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8308F0">
          <w:rPr>
            <w:rFonts w:ascii="Times New Roman" w:hAnsi="Times New Roman"/>
            <w:noProof/>
          </w:rPr>
          <w:t>7</w:t>
        </w:r>
        <w:r w:rsidRPr="003A1EA8">
          <w:rPr>
            <w:rFonts w:ascii="Times New Roman" w:hAnsi="Times New Roman"/>
            <w:noProof/>
          </w:rPr>
          <w:fldChar w:fldCharType="end"/>
        </w:r>
      </w:p>
    </w:sdtContent>
  </w:sdt>
  <w:p w14:paraId="31914A95" w14:textId="77777777" w:rsidR="00FD58AC" w:rsidRDefault="00FD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A88A1" w14:textId="77777777" w:rsidR="007A45C3" w:rsidRDefault="007A45C3">
      <w:r>
        <w:separator/>
      </w:r>
    </w:p>
  </w:footnote>
  <w:footnote w:type="continuationSeparator" w:id="0">
    <w:p w14:paraId="3BF15F5C" w14:textId="77777777" w:rsidR="007A45C3" w:rsidRDefault="007A4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110A"/>
    <w:multiLevelType w:val="multilevel"/>
    <w:tmpl w:val="B8587E2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nsid w:val="25055E73"/>
    <w:multiLevelType w:val="multilevel"/>
    <w:tmpl w:val="502C1FD2"/>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11">
    <w:nsid w:val="285337E7"/>
    <w:multiLevelType w:val="multilevel"/>
    <w:tmpl w:val="94504E82"/>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335E672C"/>
    <w:multiLevelType w:val="multilevel"/>
    <w:tmpl w:val="7E98F500"/>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70697"/>
    <w:multiLevelType w:val="hybridMultilevel"/>
    <w:tmpl w:val="BF8E57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0134D"/>
    <w:multiLevelType w:val="multilevel"/>
    <w:tmpl w:val="6636A1F0"/>
    <w:lvl w:ilvl="0">
      <w:start w:val="1"/>
      <w:numFmt w:val="bullet"/>
      <w:lvlText w:val="-"/>
      <w:lvlJc w:val="left"/>
      <w:pPr>
        <w:ind w:left="360" w:hanging="360"/>
      </w:pPr>
      <w:rPr>
        <w:rFonts w:ascii="Arial" w:hAnsi="Arial" w:cs="Arial"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EA47C9A"/>
    <w:multiLevelType w:val="hybridMultilevel"/>
    <w:tmpl w:val="0884FB00"/>
    <w:lvl w:ilvl="0" w:tplc="8938AD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7">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F8071D"/>
    <w:multiLevelType w:val="multilevel"/>
    <w:tmpl w:val="14AEB0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E611AAF"/>
    <w:multiLevelType w:val="multilevel"/>
    <w:tmpl w:val="E99A6FE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3"/>
  </w:num>
  <w:num w:numId="6">
    <w:abstractNumId w:val="26"/>
  </w:num>
  <w:num w:numId="7">
    <w:abstractNumId w:val="17"/>
  </w:num>
  <w:num w:numId="8">
    <w:abstractNumId w:val="21"/>
  </w:num>
  <w:num w:numId="9">
    <w:abstractNumId w:val="1"/>
  </w:num>
  <w:num w:numId="10">
    <w:abstractNumId w:val="18"/>
  </w:num>
  <w:num w:numId="11">
    <w:abstractNumId w:val="20"/>
  </w:num>
  <w:num w:numId="12">
    <w:abstractNumId w:val="13"/>
  </w:num>
  <w:num w:numId="13">
    <w:abstractNumId w:val="6"/>
  </w:num>
  <w:num w:numId="14">
    <w:abstractNumId w:val="23"/>
  </w:num>
  <w:num w:numId="15">
    <w:abstractNumId w:val="2"/>
  </w:num>
  <w:num w:numId="16">
    <w:abstractNumId w:val="25"/>
  </w:num>
  <w:num w:numId="17">
    <w:abstractNumId w:val="16"/>
  </w:num>
  <w:num w:numId="18">
    <w:abstractNumId w:val="15"/>
  </w:num>
  <w:num w:numId="19">
    <w:abstractNumId w:val="27"/>
  </w:num>
  <w:num w:numId="20">
    <w:abstractNumId w:val="4"/>
  </w:num>
  <w:num w:numId="21">
    <w:abstractNumId w:val="22"/>
  </w:num>
  <w:num w:numId="22">
    <w:abstractNumId w:val="29"/>
  </w:num>
  <w:num w:numId="23">
    <w:abstractNumId w:val="11"/>
  </w:num>
  <w:num w:numId="24">
    <w:abstractNumId w:val="9"/>
  </w:num>
  <w:num w:numId="25">
    <w:abstractNumId w:val="7"/>
  </w:num>
  <w:num w:numId="26">
    <w:abstractNumId w:val="12"/>
  </w:num>
  <w:num w:numId="27">
    <w:abstractNumId w:val="19"/>
  </w:num>
  <w:num w:numId="28">
    <w:abstractNumId w:val="30"/>
  </w:num>
  <w:num w:numId="29">
    <w:abstractNumId w:val="28"/>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1"/>
    <w:rsid w:val="000100FD"/>
    <w:rsid w:val="00010C47"/>
    <w:rsid w:val="000248EA"/>
    <w:rsid w:val="00025D0A"/>
    <w:rsid w:val="00026C0C"/>
    <w:rsid w:val="00043047"/>
    <w:rsid w:val="00047670"/>
    <w:rsid w:val="00052573"/>
    <w:rsid w:val="000576B9"/>
    <w:rsid w:val="000625EF"/>
    <w:rsid w:val="00062C56"/>
    <w:rsid w:val="00064E52"/>
    <w:rsid w:val="000852DD"/>
    <w:rsid w:val="00095A57"/>
    <w:rsid w:val="000A009D"/>
    <w:rsid w:val="000A5FF8"/>
    <w:rsid w:val="000B295B"/>
    <w:rsid w:val="000B76E1"/>
    <w:rsid w:val="000C7C29"/>
    <w:rsid w:val="000D3298"/>
    <w:rsid w:val="000E2E79"/>
    <w:rsid w:val="000E6B50"/>
    <w:rsid w:val="000F2765"/>
    <w:rsid w:val="0011208A"/>
    <w:rsid w:val="001208E5"/>
    <w:rsid w:val="001304E9"/>
    <w:rsid w:val="0013524C"/>
    <w:rsid w:val="00146986"/>
    <w:rsid w:val="001478F1"/>
    <w:rsid w:val="001628F9"/>
    <w:rsid w:val="00164C65"/>
    <w:rsid w:val="00166370"/>
    <w:rsid w:val="00181853"/>
    <w:rsid w:val="00184223"/>
    <w:rsid w:val="001912FB"/>
    <w:rsid w:val="001A4E3B"/>
    <w:rsid w:val="001B3FAD"/>
    <w:rsid w:val="001B6048"/>
    <w:rsid w:val="001B7373"/>
    <w:rsid w:val="001D10AE"/>
    <w:rsid w:val="001D31D7"/>
    <w:rsid w:val="001D7730"/>
    <w:rsid w:val="001E0031"/>
    <w:rsid w:val="001E496B"/>
    <w:rsid w:val="001E6EA7"/>
    <w:rsid w:val="001F17C6"/>
    <w:rsid w:val="00203B34"/>
    <w:rsid w:val="00206A2A"/>
    <w:rsid w:val="002122C3"/>
    <w:rsid w:val="00214BF2"/>
    <w:rsid w:val="0021502E"/>
    <w:rsid w:val="002232EB"/>
    <w:rsid w:val="00227FE9"/>
    <w:rsid w:val="002327F7"/>
    <w:rsid w:val="00232A88"/>
    <w:rsid w:val="00235DBC"/>
    <w:rsid w:val="0023669E"/>
    <w:rsid w:val="00237C3E"/>
    <w:rsid w:val="002439F9"/>
    <w:rsid w:val="0025305F"/>
    <w:rsid w:val="00264878"/>
    <w:rsid w:val="00264D3D"/>
    <w:rsid w:val="00272CCD"/>
    <w:rsid w:val="00275525"/>
    <w:rsid w:val="00276614"/>
    <w:rsid w:val="00284116"/>
    <w:rsid w:val="002907AA"/>
    <w:rsid w:val="002931DC"/>
    <w:rsid w:val="00293CC7"/>
    <w:rsid w:val="00296692"/>
    <w:rsid w:val="002A16C3"/>
    <w:rsid w:val="002A2449"/>
    <w:rsid w:val="002B18C7"/>
    <w:rsid w:val="002B6C3F"/>
    <w:rsid w:val="002C0C06"/>
    <w:rsid w:val="002C3065"/>
    <w:rsid w:val="002C3731"/>
    <w:rsid w:val="002D257A"/>
    <w:rsid w:val="002D2D7C"/>
    <w:rsid w:val="002D3058"/>
    <w:rsid w:val="002E288B"/>
    <w:rsid w:val="002E58A3"/>
    <w:rsid w:val="002F04CE"/>
    <w:rsid w:val="002F7271"/>
    <w:rsid w:val="0031452B"/>
    <w:rsid w:val="0032088F"/>
    <w:rsid w:val="00321D9A"/>
    <w:rsid w:val="0032433B"/>
    <w:rsid w:val="00351E81"/>
    <w:rsid w:val="00353AFD"/>
    <w:rsid w:val="003571D5"/>
    <w:rsid w:val="0036244E"/>
    <w:rsid w:val="00372B47"/>
    <w:rsid w:val="00376DAB"/>
    <w:rsid w:val="00383A40"/>
    <w:rsid w:val="003879CF"/>
    <w:rsid w:val="00387BC0"/>
    <w:rsid w:val="003916CE"/>
    <w:rsid w:val="003A6C8A"/>
    <w:rsid w:val="003B0426"/>
    <w:rsid w:val="003B17DC"/>
    <w:rsid w:val="003D4F87"/>
    <w:rsid w:val="003E17E4"/>
    <w:rsid w:val="003E292A"/>
    <w:rsid w:val="003E4F78"/>
    <w:rsid w:val="003E529C"/>
    <w:rsid w:val="003E7C9E"/>
    <w:rsid w:val="003F301B"/>
    <w:rsid w:val="004019FB"/>
    <w:rsid w:val="00415BD8"/>
    <w:rsid w:val="00422364"/>
    <w:rsid w:val="00437073"/>
    <w:rsid w:val="004433AE"/>
    <w:rsid w:val="00447D22"/>
    <w:rsid w:val="00451BB3"/>
    <w:rsid w:val="0047026B"/>
    <w:rsid w:val="0047490A"/>
    <w:rsid w:val="004755E3"/>
    <w:rsid w:val="004808C2"/>
    <w:rsid w:val="00496099"/>
    <w:rsid w:val="004A00FE"/>
    <w:rsid w:val="004A27F2"/>
    <w:rsid w:val="004A4EE4"/>
    <w:rsid w:val="004A685E"/>
    <w:rsid w:val="004A74FD"/>
    <w:rsid w:val="004B26AB"/>
    <w:rsid w:val="004B62D3"/>
    <w:rsid w:val="004C4C39"/>
    <w:rsid w:val="004C6B2A"/>
    <w:rsid w:val="004D19F6"/>
    <w:rsid w:val="004D2EB6"/>
    <w:rsid w:val="004D4F79"/>
    <w:rsid w:val="004E23DD"/>
    <w:rsid w:val="004E2773"/>
    <w:rsid w:val="004F7CBE"/>
    <w:rsid w:val="004F7E5B"/>
    <w:rsid w:val="005100ED"/>
    <w:rsid w:val="00515075"/>
    <w:rsid w:val="00532641"/>
    <w:rsid w:val="00534541"/>
    <w:rsid w:val="00534C71"/>
    <w:rsid w:val="00542300"/>
    <w:rsid w:val="00547EF5"/>
    <w:rsid w:val="00550BDD"/>
    <w:rsid w:val="00553E05"/>
    <w:rsid w:val="00555B9E"/>
    <w:rsid w:val="00565675"/>
    <w:rsid w:val="00566A5A"/>
    <w:rsid w:val="00592E42"/>
    <w:rsid w:val="005A1765"/>
    <w:rsid w:val="005A2BB3"/>
    <w:rsid w:val="005A6DE8"/>
    <w:rsid w:val="005B041E"/>
    <w:rsid w:val="005B08C1"/>
    <w:rsid w:val="005C2083"/>
    <w:rsid w:val="005C3028"/>
    <w:rsid w:val="005C46E1"/>
    <w:rsid w:val="005D42F7"/>
    <w:rsid w:val="005D78C2"/>
    <w:rsid w:val="005E54CD"/>
    <w:rsid w:val="005F2FD8"/>
    <w:rsid w:val="005F506C"/>
    <w:rsid w:val="0060204F"/>
    <w:rsid w:val="00602E4B"/>
    <w:rsid w:val="00611C38"/>
    <w:rsid w:val="00620ACC"/>
    <w:rsid w:val="00621947"/>
    <w:rsid w:val="006257F7"/>
    <w:rsid w:val="00625D3B"/>
    <w:rsid w:val="0063428B"/>
    <w:rsid w:val="00650297"/>
    <w:rsid w:val="006637BC"/>
    <w:rsid w:val="00665C11"/>
    <w:rsid w:val="00667FC3"/>
    <w:rsid w:val="006716E3"/>
    <w:rsid w:val="00674D69"/>
    <w:rsid w:val="00680407"/>
    <w:rsid w:val="006807AA"/>
    <w:rsid w:val="00685020"/>
    <w:rsid w:val="00692465"/>
    <w:rsid w:val="00692AB5"/>
    <w:rsid w:val="006E07B7"/>
    <w:rsid w:val="006F32C7"/>
    <w:rsid w:val="006F5735"/>
    <w:rsid w:val="006F75F8"/>
    <w:rsid w:val="007003EC"/>
    <w:rsid w:val="00703D96"/>
    <w:rsid w:val="00715ED2"/>
    <w:rsid w:val="00717EEE"/>
    <w:rsid w:val="00731A03"/>
    <w:rsid w:val="00734BB9"/>
    <w:rsid w:val="00746250"/>
    <w:rsid w:val="00747C72"/>
    <w:rsid w:val="00753ECE"/>
    <w:rsid w:val="00756F4F"/>
    <w:rsid w:val="00757F31"/>
    <w:rsid w:val="00761024"/>
    <w:rsid w:val="007727D1"/>
    <w:rsid w:val="00774C59"/>
    <w:rsid w:val="007847A7"/>
    <w:rsid w:val="00784FF4"/>
    <w:rsid w:val="00794E4D"/>
    <w:rsid w:val="007960B7"/>
    <w:rsid w:val="007A0B24"/>
    <w:rsid w:val="007A45C3"/>
    <w:rsid w:val="007B118F"/>
    <w:rsid w:val="007B6BB3"/>
    <w:rsid w:val="007B6CC0"/>
    <w:rsid w:val="007C0CF6"/>
    <w:rsid w:val="007C14B4"/>
    <w:rsid w:val="007C710F"/>
    <w:rsid w:val="007E1F9A"/>
    <w:rsid w:val="007F0273"/>
    <w:rsid w:val="007F12A4"/>
    <w:rsid w:val="007F1B29"/>
    <w:rsid w:val="008027F9"/>
    <w:rsid w:val="00817998"/>
    <w:rsid w:val="008208ED"/>
    <w:rsid w:val="0082351B"/>
    <w:rsid w:val="008308F0"/>
    <w:rsid w:val="008329DB"/>
    <w:rsid w:val="00835960"/>
    <w:rsid w:val="00836ED4"/>
    <w:rsid w:val="008407DE"/>
    <w:rsid w:val="008461FA"/>
    <w:rsid w:val="00846328"/>
    <w:rsid w:val="00855161"/>
    <w:rsid w:val="008574D1"/>
    <w:rsid w:val="008751D1"/>
    <w:rsid w:val="008A3BBC"/>
    <w:rsid w:val="008A599E"/>
    <w:rsid w:val="008A6C09"/>
    <w:rsid w:val="008B39D7"/>
    <w:rsid w:val="008C59F1"/>
    <w:rsid w:val="008D5B41"/>
    <w:rsid w:val="008F0690"/>
    <w:rsid w:val="008F06E2"/>
    <w:rsid w:val="008F1B1C"/>
    <w:rsid w:val="0090516B"/>
    <w:rsid w:val="00916D3A"/>
    <w:rsid w:val="0092164A"/>
    <w:rsid w:val="00924A01"/>
    <w:rsid w:val="0092669E"/>
    <w:rsid w:val="00927E7B"/>
    <w:rsid w:val="00935323"/>
    <w:rsid w:val="0094204E"/>
    <w:rsid w:val="00957142"/>
    <w:rsid w:val="00962612"/>
    <w:rsid w:val="00966820"/>
    <w:rsid w:val="009670B2"/>
    <w:rsid w:val="00992964"/>
    <w:rsid w:val="009A484D"/>
    <w:rsid w:val="009A5F4A"/>
    <w:rsid w:val="009B29BA"/>
    <w:rsid w:val="009B5C26"/>
    <w:rsid w:val="009B7EB0"/>
    <w:rsid w:val="009C2636"/>
    <w:rsid w:val="009C4424"/>
    <w:rsid w:val="009C4F90"/>
    <w:rsid w:val="009C5AE0"/>
    <w:rsid w:val="009E1B44"/>
    <w:rsid w:val="009E682E"/>
    <w:rsid w:val="009F4CFB"/>
    <w:rsid w:val="009F548F"/>
    <w:rsid w:val="009F5FB0"/>
    <w:rsid w:val="00A063E6"/>
    <w:rsid w:val="00A14552"/>
    <w:rsid w:val="00A21284"/>
    <w:rsid w:val="00A22D7E"/>
    <w:rsid w:val="00A344BE"/>
    <w:rsid w:val="00A36474"/>
    <w:rsid w:val="00A408D6"/>
    <w:rsid w:val="00A43AF6"/>
    <w:rsid w:val="00A530B0"/>
    <w:rsid w:val="00A549BA"/>
    <w:rsid w:val="00A54FD4"/>
    <w:rsid w:val="00A72065"/>
    <w:rsid w:val="00A84136"/>
    <w:rsid w:val="00A911C1"/>
    <w:rsid w:val="00AA3275"/>
    <w:rsid w:val="00AA348E"/>
    <w:rsid w:val="00AB41A3"/>
    <w:rsid w:val="00AB56FB"/>
    <w:rsid w:val="00AB5B84"/>
    <w:rsid w:val="00AC5D48"/>
    <w:rsid w:val="00AE775E"/>
    <w:rsid w:val="00AE77B8"/>
    <w:rsid w:val="00AF3FF0"/>
    <w:rsid w:val="00AF4D98"/>
    <w:rsid w:val="00B00BAB"/>
    <w:rsid w:val="00B01C33"/>
    <w:rsid w:val="00B03BB2"/>
    <w:rsid w:val="00B064D7"/>
    <w:rsid w:val="00B07663"/>
    <w:rsid w:val="00B07A65"/>
    <w:rsid w:val="00B10401"/>
    <w:rsid w:val="00B16235"/>
    <w:rsid w:val="00B17688"/>
    <w:rsid w:val="00B264CB"/>
    <w:rsid w:val="00B33DBD"/>
    <w:rsid w:val="00B372C8"/>
    <w:rsid w:val="00B40062"/>
    <w:rsid w:val="00B40303"/>
    <w:rsid w:val="00B4151A"/>
    <w:rsid w:val="00B5052A"/>
    <w:rsid w:val="00B51008"/>
    <w:rsid w:val="00B5428F"/>
    <w:rsid w:val="00B75068"/>
    <w:rsid w:val="00B75739"/>
    <w:rsid w:val="00B8003D"/>
    <w:rsid w:val="00B945B0"/>
    <w:rsid w:val="00B95DD7"/>
    <w:rsid w:val="00BC0CE5"/>
    <w:rsid w:val="00BC6809"/>
    <w:rsid w:val="00BE2007"/>
    <w:rsid w:val="00BE3992"/>
    <w:rsid w:val="00BE5C55"/>
    <w:rsid w:val="00BF7C8A"/>
    <w:rsid w:val="00C01D28"/>
    <w:rsid w:val="00C0648A"/>
    <w:rsid w:val="00C1016D"/>
    <w:rsid w:val="00C12E7D"/>
    <w:rsid w:val="00C1661B"/>
    <w:rsid w:val="00C43162"/>
    <w:rsid w:val="00C45C84"/>
    <w:rsid w:val="00C46B8B"/>
    <w:rsid w:val="00C52B88"/>
    <w:rsid w:val="00C601F2"/>
    <w:rsid w:val="00C6369A"/>
    <w:rsid w:val="00C640B3"/>
    <w:rsid w:val="00C65356"/>
    <w:rsid w:val="00C65788"/>
    <w:rsid w:val="00C720CF"/>
    <w:rsid w:val="00C746BB"/>
    <w:rsid w:val="00C81D24"/>
    <w:rsid w:val="00C85FF8"/>
    <w:rsid w:val="00C8612D"/>
    <w:rsid w:val="00C9026B"/>
    <w:rsid w:val="00C94A57"/>
    <w:rsid w:val="00C971B9"/>
    <w:rsid w:val="00CA33C2"/>
    <w:rsid w:val="00CA5161"/>
    <w:rsid w:val="00CB2D2B"/>
    <w:rsid w:val="00CC3524"/>
    <w:rsid w:val="00CC39C9"/>
    <w:rsid w:val="00CC494F"/>
    <w:rsid w:val="00CC4FE7"/>
    <w:rsid w:val="00CC5D3C"/>
    <w:rsid w:val="00CC5FA0"/>
    <w:rsid w:val="00CD2025"/>
    <w:rsid w:val="00CD44BA"/>
    <w:rsid w:val="00CE03B7"/>
    <w:rsid w:val="00CE2E1B"/>
    <w:rsid w:val="00CE43CC"/>
    <w:rsid w:val="00CF292E"/>
    <w:rsid w:val="00D02AA6"/>
    <w:rsid w:val="00D04D8E"/>
    <w:rsid w:val="00D12001"/>
    <w:rsid w:val="00D22614"/>
    <w:rsid w:val="00D268E2"/>
    <w:rsid w:val="00D2692F"/>
    <w:rsid w:val="00D26AD1"/>
    <w:rsid w:val="00D330CB"/>
    <w:rsid w:val="00D33B4D"/>
    <w:rsid w:val="00D537AF"/>
    <w:rsid w:val="00D60B3A"/>
    <w:rsid w:val="00D6321D"/>
    <w:rsid w:val="00D769D8"/>
    <w:rsid w:val="00D76C8A"/>
    <w:rsid w:val="00D9161B"/>
    <w:rsid w:val="00D92600"/>
    <w:rsid w:val="00D9594D"/>
    <w:rsid w:val="00DA0F35"/>
    <w:rsid w:val="00DA5CC2"/>
    <w:rsid w:val="00DA6F46"/>
    <w:rsid w:val="00DE02DB"/>
    <w:rsid w:val="00DE1C6F"/>
    <w:rsid w:val="00DE1CB5"/>
    <w:rsid w:val="00DF2E23"/>
    <w:rsid w:val="00DF668F"/>
    <w:rsid w:val="00DF7E5F"/>
    <w:rsid w:val="00E00640"/>
    <w:rsid w:val="00E03CB7"/>
    <w:rsid w:val="00E04E64"/>
    <w:rsid w:val="00E0743A"/>
    <w:rsid w:val="00E14162"/>
    <w:rsid w:val="00E14D40"/>
    <w:rsid w:val="00E174D3"/>
    <w:rsid w:val="00E36236"/>
    <w:rsid w:val="00E40320"/>
    <w:rsid w:val="00E44A7C"/>
    <w:rsid w:val="00E54DBD"/>
    <w:rsid w:val="00E63720"/>
    <w:rsid w:val="00E66257"/>
    <w:rsid w:val="00E67C5D"/>
    <w:rsid w:val="00E70F07"/>
    <w:rsid w:val="00E83E5B"/>
    <w:rsid w:val="00E870C7"/>
    <w:rsid w:val="00EA210D"/>
    <w:rsid w:val="00EB5860"/>
    <w:rsid w:val="00EC214F"/>
    <w:rsid w:val="00EC3ED2"/>
    <w:rsid w:val="00ED33F4"/>
    <w:rsid w:val="00ED3576"/>
    <w:rsid w:val="00EE51FC"/>
    <w:rsid w:val="00EE56AD"/>
    <w:rsid w:val="00EF6D45"/>
    <w:rsid w:val="00F1304A"/>
    <w:rsid w:val="00F14742"/>
    <w:rsid w:val="00F23455"/>
    <w:rsid w:val="00F23D6A"/>
    <w:rsid w:val="00F24F24"/>
    <w:rsid w:val="00F34648"/>
    <w:rsid w:val="00F34F8D"/>
    <w:rsid w:val="00F44E46"/>
    <w:rsid w:val="00F52CD1"/>
    <w:rsid w:val="00F60DB6"/>
    <w:rsid w:val="00F6380E"/>
    <w:rsid w:val="00F80E11"/>
    <w:rsid w:val="00F84EAD"/>
    <w:rsid w:val="00F949AB"/>
    <w:rsid w:val="00FA5907"/>
    <w:rsid w:val="00FB5ADE"/>
    <w:rsid w:val="00FB7D78"/>
    <w:rsid w:val="00FC0FD0"/>
    <w:rsid w:val="00FC126A"/>
    <w:rsid w:val="00FD58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ct:336975%2063428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BAA9-0939-4B39-ABB6-D3024912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Catalina Duta</cp:lastModifiedBy>
  <cp:revision>2</cp:revision>
  <cp:lastPrinted>2020-03-10T10:03:00Z</cp:lastPrinted>
  <dcterms:created xsi:type="dcterms:W3CDTF">2022-01-13T07:24:00Z</dcterms:created>
  <dcterms:modified xsi:type="dcterms:W3CDTF">2022-01-13T07:24:00Z</dcterms:modified>
</cp:coreProperties>
</file>