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F8FC" w14:textId="77777777" w:rsidR="00CA33C2" w:rsidRPr="00CD3851" w:rsidRDefault="00CA33C2" w:rsidP="0063428B">
      <w:pPr>
        <w:spacing w:line="360" w:lineRule="auto"/>
        <w:jc w:val="center"/>
        <w:rPr>
          <w:rFonts w:ascii="Times New Roman" w:hAnsi="Times New Roman"/>
          <w:b/>
        </w:rPr>
      </w:pPr>
      <w:r w:rsidRPr="00CD3851">
        <w:rPr>
          <w:rFonts w:ascii="Times New Roman" w:hAnsi="Times New Roman"/>
          <w:b/>
        </w:rPr>
        <w:t>ORDIN</w:t>
      </w:r>
    </w:p>
    <w:p w14:paraId="21EEC5B9" w14:textId="77777777" w:rsidR="00CA33C2" w:rsidRPr="00CD3851" w:rsidRDefault="00CA33C2" w:rsidP="0063428B">
      <w:pPr>
        <w:spacing w:line="360" w:lineRule="auto"/>
        <w:jc w:val="center"/>
        <w:rPr>
          <w:rFonts w:ascii="Times New Roman" w:hAnsi="Times New Roman"/>
          <w:b/>
        </w:rPr>
      </w:pPr>
      <w:r w:rsidRPr="00CD3851">
        <w:rPr>
          <w:rFonts w:ascii="Times New Roman" w:eastAsia="Arial Unicode MS" w:hAnsi="Times New Roman"/>
          <w:b/>
        </w:rPr>
        <w:t xml:space="preserve">privind modificarea </w:t>
      </w:r>
      <w:r>
        <w:rPr>
          <w:rFonts w:ascii="Times New Roman" w:eastAsia="Arial Unicode MS" w:hAnsi="Times New Roman"/>
          <w:b/>
        </w:rPr>
        <w:t xml:space="preserve">și completarea </w:t>
      </w:r>
      <w:r w:rsidRPr="00CD3851">
        <w:rPr>
          <w:rFonts w:ascii="Times New Roman" w:hAnsi="Times New Roman"/>
          <w:b/>
        </w:rPr>
        <w:t xml:space="preserve">Procedurii și modalității de alocare a sumelor, precum </w:t>
      </w:r>
      <w:proofErr w:type="spellStart"/>
      <w:r w:rsidRPr="00CD3851">
        <w:rPr>
          <w:rFonts w:ascii="Times New Roman" w:hAnsi="Times New Roman"/>
          <w:b/>
        </w:rPr>
        <w:t>şi</w:t>
      </w:r>
      <w:proofErr w:type="spellEnd"/>
      <w:r w:rsidRPr="00CD3851">
        <w:rPr>
          <w:rFonts w:ascii="Times New Roman" w:hAnsi="Times New Roman"/>
          <w:b/>
        </w:rPr>
        <w:t xml:space="preserve"> raportarea de către beneficiari a stadiului de </w:t>
      </w:r>
      <w:proofErr w:type="spellStart"/>
      <w:r w:rsidRPr="00CD3851">
        <w:rPr>
          <w:rFonts w:ascii="Times New Roman" w:hAnsi="Times New Roman"/>
          <w:b/>
        </w:rPr>
        <w:t>execuţie</w:t>
      </w:r>
      <w:proofErr w:type="spellEnd"/>
      <w:r w:rsidRPr="00CD3851">
        <w:rPr>
          <w:rFonts w:ascii="Times New Roman" w:hAnsi="Times New Roman"/>
          <w:b/>
        </w:rPr>
        <w:t xml:space="preserve"> a lucrărilor pentru lucrările de înregistrare sistematică </w:t>
      </w:r>
      <w:proofErr w:type="spellStart"/>
      <w:r w:rsidRPr="00CD3851">
        <w:rPr>
          <w:rFonts w:ascii="Times New Roman" w:hAnsi="Times New Roman"/>
          <w:b/>
        </w:rPr>
        <w:t>iniţiate</w:t>
      </w:r>
      <w:proofErr w:type="spellEnd"/>
      <w:r w:rsidRPr="00CD3851">
        <w:rPr>
          <w:rFonts w:ascii="Times New Roman" w:hAnsi="Times New Roman"/>
          <w:b/>
        </w:rPr>
        <w:t xml:space="preserve"> de </w:t>
      </w:r>
      <w:proofErr w:type="spellStart"/>
      <w:r w:rsidRPr="00CD3851">
        <w:rPr>
          <w:rFonts w:ascii="Times New Roman" w:hAnsi="Times New Roman"/>
          <w:b/>
        </w:rPr>
        <w:t>unităţile</w:t>
      </w:r>
      <w:proofErr w:type="spellEnd"/>
      <w:r w:rsidRPr="00CD3851">
        <w:rPr>
          <w:rFonts w:ascii="Times New Roman" w:hAnsi="Times New Roman"/>
          <w:b/>
        </w:rPr>
        <w:t xml:space="preserve"> administrativ-teritoriale, aprobată prin Ordinul directorului general al Agenției Naționale de Cadastru și Publicitate Imobiliară nr. 819/2016</w:t>
      </w:r>
      <w:r>
        <w:rPr>
          <w:rFonts w:ascii="Times New Roman" w:hAnsi="Times New Roman"/>
          <w:b/>
        </w:rPr>
        <w:t>, cu modificările și completările ulterioare</w:t>
      </w:r>
    </w:p>
    <w:p w14:paraId="60240C71" w14:textId="77777777" w:rsidR="00CA33C2" w:rsidRPr="00CA33C2" w:rsidRDefault="00CA33C2" w:rsidP="0063428B">
      <w:pPr>
        <w:spacing w:line="360" w:lineRule="auto"/>
        <w:rPr>
          <w:rFonts w:ascii="Times New Roman" w:hAnsi="Times New Roman"/>
          <w:b/>
        </w:rPr>
      </w:pPr>
    </w:p>
    <w:p w14:paraId="61FE3AC4" w14:textId="77777777" w:rsidR="00CA33C2" w:rsidRPr="00CA33C2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CA33C2">
        <w:rPr>
          <w:rFonts w:ascii="Times New Roman" w:hAnsi="Times New Roman"/>
          <w:iCs/>
          <w:lang w:eastAsia="en-US"/>
        </w:rPr>
        <w:t xml:space="preserve">Având în vedere </w:t>
      </w:r>
      <w:proofErr w:type="spellStart"/>
      <w:r w:rsidRPr="00CA33C2">
        <w:rPr>
          <w:rFonts w:ascii="Times New Roman" w:hAnsi="Times New Roman"/>
          <w:iCs/>
          <w:lang w:eastAsia="en-US"/>
        </w:rPr>
        <w:t>dispoziţiile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</w:t>
      </w:r>
      <w:r w:rsidRPr="00CA33C2">
        <w:rPr>
          <w:rStyle w:val="l5def1"/>
          <w:rFonts w:ascii="Times New Roman" w:hAnsi="Times New Roman" w:cs="Times New Roman"/>
          <w:color w:val="auto"/>
        </w:rPr>
        <w:t xml:space="preserve">art. 9 </w:t>
      </w:r>
      <w:hyperlink r:id="rId8" w:history="1">
        <w:r w:rsidRPr="00CA33C2">
          <w:rPr>
            <w:rStyle w:val="Hyperlink"/>
            <w:rFonts w:ascii="Times New Roman" w:hAnsi="Times New Roman"/>
            <w:color w:val="auto"/>
            <w:u w:val="none"/>
          </w:rPr>
          <w:t>alin. (34</w:t>
        </w:r>
        <w:r w:rsidRPr="00CA33C2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6</w:t>
        </w:r>
        <w:r w:rsidRPr="00CA33C2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CA33C2">
        <w:rPr>
          <w:rFonts w:ascii="Times New Roman" w:hAnsi="Times New Roman"/>
          <w:iCs/>
          <w:lang w:eastAsia="en-US"/>
        </w:rPr>
        <w:t xml:space="preserve"> din Legea cadastrului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a </w:t>
      </w:r>
      <w:proofErr w:type="spellStart"/>
      <w:r w:rsidRPr="00CA33C2">
        <w:rPr>
          <w:rFonts w:ascii="Times New Roman" w:hAnsi="Times New Roman"/>
          <w:iCs/>
          <w:lang w:eastAsia="en-US"/>
        </w:rPr>
        <w:t>publicităţii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imobiliare nr. 7/1996, republicată, cu modificările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completările ulterioare,</w:t>
      </w:r>
    </w:p>
    <w:p w14:paraId="71216ABC" w14:textId="77777777" w:rsidR="00CA33C2" w:rsidRPr="00CA33C2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CA33C2">
        <w:rPr>
          <w:rFonts w:ascii="Times New Roman" w:hAnsi="Times New Roman"/>
          <w:iCs/>
          <w:lang w:eastAsia="en-US"/>
        </w:rPr>
        <w:t xml:space="preserve">În temeiul art. 3 </w:t>
      </w:r>
      <w:hyperlink r:id="rId9" w:history="1">
        <w:r w:rsidRPr="00CA33C2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(13)</w:t>
        </w:r>
      </w:hyperlink>
      <w:r w:rsidRPr="00CA33C2">
        <w:rPr>
          <w:rFonts w:ascii="Times New Roman" w:hAnsi="Times New Roman"/>
          <w:iCs/>
          <w:lang w:eastAsia="en-US"/>
        </w:rPr>
        <w:t xml:space="preserve"> din Legea cadastrului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a </w:t>
      </w:r>
      <w:proofErr w:type="spellStart"/>
      <w:r w:rsidRPr="00CA33C2">
        <w:rPr>
          <w:rFonts w:ascii="Times New Roman" w:hAnsi="Times New Roman"/>
          <w:iCs/>
          <w:lang w:eastAsia="en-US"/>
        </w:rPr>
        <w:t>publicităţii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imobiliare nr. 7/1996, republicată, cu modificările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completările ulterioare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art. 15 </w:t>
      </w:r>
      <w:hyperlink r:id="rId10" w:history="1">
        <w:r w:rsidRPr="00CA33C2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(3)</w:t>
        </w:r>
      </w:hyperlink>
      <w:r w:rsidRPr="00CA33C2">
        <w:rPr>
          <w:rFonts w:ascii="Times New Roman" w:hAnsi="Times New Roman"/>
          <w:iCs/>
          <w:lang w:eastAsia="en-US"/>
        </w:rPr>
        <w:t xml:space="preserve"> din </w:t>
      </w:r>
      <w:hyperlink r:id="rId11" w:history="1">
        <w:r w:rsidRPr="00CA33C2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Regulamentul</w:t>
        </w:r>
      </w:hyperlink>
      <w:r w:rsidRPr="00CA33C2">
        <w:rPr>
          <w:rFonts w:ascii="Times New Roman" w:hAnsi="Times New Roman"/>
          <w:iCs/>
          <w:lang w:eastAsia="en-US"/>
        </w:rPr>
        <w:t xml:space="preserve"> de organizare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CA33C2">
        <w:rPr>
          <w:rFonts w:ascii="Times New Roman" w:hAnsi="Times New Roman"/>
          <w:iCs/>
          <w:lang w:eastAsia="en-US"/>
        </w:rPr>
        <w:t>funcţionare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a </w:t>
      </w:r>
      <w:proofErr w:type="spellStart"/>
      <w:r w:rsidRPr="00CA33C2">
        <w:rPr>
          <w:rFonts w:ascii="Times New Roman" w:hAnsi="Times New Roman"/>
          <w:iCs/>
          <w:lang w:eastAsia="en-US"/>
        </w:rPr>
        <w:t>Agenţiei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CA33C2">
        <w:rPr>
          <w:rFonts w:ascii="Times New Roman" w:hAnsi="Times New Roman"/>
          <w:iCs/>
          <w:lang w:eastAsia="en-US"/>
        </w:rPr>
        <w:t>Naţionale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de Cadastru </w:t>
      </w:r>
      <w:proofErr w:type="spellStart"/>
      <w:r w:rsidRPr="00CA33C2">
        <w:rPr>
          <w:rFonts w:ascii="Times New Roman" w:hAnsi="Times New Roman"/>
          <w:iCs/>
          <w:lang w:eastAsia="en-US"/>
        </w:rPr>
        <w:t>şi</w:t>
      </w:r>
      <w:proofErr w:type="spellEnd"/>
      <w:r w:rsidRPr="00CA33C2">
        <w:rPr>
          <w:rFonts w:ascii="Times New Roman" w:hAnsi="Times New Roman"/>
          <w:iCs/>
          <w:lang w:eastAsia="en-US"/>
        </w:rPr>
        <w:t xml:space="preserve"> Publicitate Imobiliară, aprobat prin Hotărârea Guvernului </w:t>
      </w:r>
      <w:hyperlink r:id="rId12" w:history="1">
        <w:r w:rsidRPr="00CA33C2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nr. 1.288/2012</w:t>
        </w:r>
      </w:hyperlink>
      <w:r w:rsidRPr="00CA33C2">
        <w:rPr>
          <w:rFonts w:ascii="Times New Roman" w:hAnsi="Times New Roman"/>
          <w:iCs/>
          <w:lang w:eastAsia="en-US"/>
        </w:rPr>
        <w:t>, cu modificările și completările ulterioare,</w:t>
      </w:r>
    </w:p>
    <w:p w14:paraId="2A089FF7" w14:textId="77777777" w:rsidR="00CA33C2" w:rsidRPr="00CA33C2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CA33C2">
        <w:rPr>
          <w:rFonts w:ascii="Times New Roman" w:hAnsi="Times New Roman"/>
          <w:iCs/>
          <w:lang w:eastAsia="en-US"/>
        </w:rPr>
        <w:t>directorul general al Agenției Naționale de Cadastru și Publicitate Imobiliară emite prezentul</w:t>
      </w:r>
    </w:p>
    <w:p w14:paraId="27ED8F56" w14:textId="77777777" w:rsidR="00CA33C2" w:rsidRPr="00CA33C2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</w:p>
    <w:p w14:paraId="5FA0B074" w14:textId="77777777" w:rsidR="00CA33C2" w:rsidRPr="00CA33C2" w:rsidRDefault="00CA33C2" w:rsidP="0063428B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  <w:r w:rsidRPr="00CA33C2">
        <w:rPr>
          <w:rFonts w:ascii="Times New Roman" w:hAnsi="Times New Roman"/>
          <w:b/>
          <w:iCs/>
          <w:lang w:eastAsia="en-US"/>
        </w:rPr>
        <w:t>ORDIN:</w:t>
      </w:r>
    </w:p>
    <w:p w14:paraId="329E46A8" w14:textId="77777777" w:rsidR="00CA33C2" w:rsidRPr="00CD385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lang w:eastAsia="en-US"/>
        </w:rPr>
      </w:pPr>
      <w:r w:rsidRPr="00CA33C2">
        <w:rPr>
          <w:rFonts w:ascii="Times New Roman" w:hAnsi="Times New Roman"/>
          <w:b/>
          <w:bCs/>
          <w:lang w:eastAsia="en-US"/>
        </w:rPr>
        <w:t xml:space="preserve">Art. 1. </w:t>
      </w:r>
      <w:r w:rsidRPr="00CA33C2">
        <w:rPr>
          <w:rFonts w:ascii="Times New Roman" w:hAnsi="Times New Roman"/>
          <w:lang w:eastAsia="en-US"/>
        </w:rPr>
        <w:t xml:space="preserve">Procedura și modalitatea de alocare a sumelor, precum </w:t>
      </w:r>
      <w:proofErr w:type="spellStart"/>
      <w:r w:rsidRPr="00CA33C2">
        <w:rPr>
          <w:rFonts w:ascii="Times New Roman" w:hAnsi="Times New Roman"/>
          <w:lang w:eastAsia="en-US"/>
        </w:rPr>
        <w:t>şi</w:t>
      </w:r>
      <w:proofErr w:type="spellEnd"/>
      <w:r w:rsidRPr="00CA33C2">
        <w:rPr>
          <w:rFonts w:ascii="Times New Roman" w:hAnsi="Times New Roman"/>
          <w:lang w:eastAsia="en-US"/>
        </w:rPr>
        <w:t xml:space="preserve"> raportarea </w:t>
      </w:r>
      <w:r w:rsidRPr="00CD3851">
        <w:rPr>
          <w:rFonts w:ascii="Times New Roman" w:hAnsi="Times New Roman"/>
          <w:lang w:eastAsia="en-US"/>
        </w:rPr>
        <w:t xml:space="preserve">de către beneficiari a stadiului de </w:t>
      </w:r>
      <w:proofErr w:type="spellStart"/>
      <w:r w:rsidRPr="00CD3851">
        <w:rPr>
          <w:rFonts w:ascii="Times New Roman" w:hAnsi="Times New Roman"/>
          <w:lang w:eastAsia="en-US"/>
        </w:rPr>
        <w:t>execuţie</w:t>
      </w:r>
      <w:proofErr w:type="spellEnd"/>
      <w:r w:rsidRPr="00CD3851">
        <w:rPr>
          <w:rFonts w:ascii="Times New Roman" w:hAnsi="Times New Roman"/>
          <w:lang w:eastAsia="en-US"/>
        </w:rPr>
        <w:t xml:space="preserve"> a lucrărilor pentru lucrările de înregistrare sistematică </w:t>
      </w:r>
      <w:proofErr w:type="spellStart"/>
      <w:r w:rsidRPr="00CD3851">
        <w:rPr>
          <w:rFonts w:ascii="Times New Roman" w:hAnsi="Times New Roman"/>
          <w:lang w:eastAsia="en-US"/>
        </w:rPr>
        <w:t>iniţiate</w:t>
      </w:r>
      <w:proofErr w:type="spellEnd"/>
      <w:r w:rsidRPr="00CD3851">
        <w:rPr>
          <w:rFonts w:ascii="Times New Roman" w:hAnsi="Times New Roman"/>
          <w:lang w:eastAsia="en-US"/>
        </w:rPr>
        <w:t xml:space="preserve"> de </w:t>
      </w:r>
      <w:proofErr w:type="spellStart"/>
      <w:r w:rsidRPr="00CD3851">
        <w:rPr>
          <w:rFonts w:ascii="Times New Roman" w:hAnsi="Times New Roman"/>
          <w:lang w:eastAsia="en-US"/>
        </w:rPr>
        <w:t>unităţile</w:t>
      </w:r>
      <w:proofErr w:type="spellEnd"/>
      <w:r w:rsidRPr="00CD3851">
        <w:rPr>
          <w:rFonts w:ascii="Times New Roman" w:hAnsi="Times New Roman"/>
          <w:lang w:eastAsia="en-US"/>
        </w:rPr>
        <w:t xml:space="preserve"> administrativ-teritoriale, aprobată prin Ordinul directorului general al Agenției Naționale de Cadastru și Publicitate Imobiliară nr. 819/2016, </w:t>
      </w:r>
      <w:r>
        <w:rPr>
          <w:rFonts w:ascii="Times New Roman" w:hAnsi="Times New Roman"/>
          <w:lang w:eastAsia="en-US"/>
        </w:rPr>
        <w:t xml:space="preserve">cu modificările și completările ulterioare, </w:t>
      </w:r>
      <w:r w:rsidRPr="00CD3851">
        <w:rPr>
          <w:rFonts w:ascii="Times New Roman" w:hAnsi="Times New Roman"/>
          <w:lang w:eastAsia="en-US"/>
        </w:rPr>
        <w:t xml:space="preserve">publicat în Monitorul Oficial al României, Partea I, nr. 583 din 01 august 2016, se modifică </w:t>
      </w:r>
      <w:r>
        <w:rPr>
          <w:rFonts w:ascii="Times New Roman" w:hAnsi="Times New Roman"/>
          <w:lang w:eastAsia="en-US"/>
        </w:rPr>
        <w:t xml:space="preserve">și se completează </w:t>
      </w:r>
      <w:r w:rsidRPr="00CD3851">
        <w:rPr>
          <w:rFonts w:ascii="Times New Roman" w:hAnsi="Times New Roman"/>
          <w:lang w:eastAsia="en-US"/>
        </w:rPr>
        <w:t>conform anexei care face parte integrantă din prezentul ordin.</w:t>
      </w:r>
    </w:p>
    <w:p w14:paraId="7D095FD0" w14:textId="77777777" w:rsidR="00CA33C2" w:rsidRPr="00CD3851" w:rsidRDefault="00CA33C2" w:rsidP="0063428B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b/>
          <w:bCs/>
          <w:lang w:eastAsia="en-US"/>
        </w:rPr>
        <w:t xml:space="preserve">Art. 2.  </w:t>
      </w:r>
      <w:r w:rsidRPr="00CD3851">
        <w:rPr>
          <w:rFonts w:ascii="Times New Roman" w:hAnsi="Times New Roman"/>
          <w:lang w:eastAsia="en-US"/>
        </w:rPr>
        <w:t>Prezentul Ordin se publică în Monitorul Oficial al României, Partea I.</w:t>
      </w:r>
    </w:p>
    <w:p w14:paraId="6BADA506" w14:textId="77777777" w:rsidR="00CA33C2" w:rsidRPr="00CD3851" w:rsidRDefault="00CA33C2" w:rsidP="0063428B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</w:p>
    <w:p w14:paraId="7FA0B7C2" w14:textId="77777777" w:rsidR="00CA33C2" w:rsidRDefault="00CA33C2" w:rsidP="0063428B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lang w:eastAsia="en-US"/>
        </w:rPr>
        <w:t xml:space="preserve">Directorul general </w:t>
      </w:r>
    </w:p>
    <w:p w14:paraId="53B692EC" w14:textId="77777777" w:rsidR="00CA33C2" w:rsidRPr="00CD3851" w:rsidRDefault="00CA33C2" w:rsidP="0063428B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lang w:eastAsia="en-US"/>
        </w:rPr>
        <w:t>al Agenției Naționale Cadastru și Publicitate Imobiliară</w:t>
      </w:r>
    </w:p>
    <w:p w14:paraId="1E2F54E8" w14:textId="77777777" w:rsidR="00CA33C2" w:rsidRDefault="00CA33C2" w:rsidP="0063428B">
      <w:pPr>
        <w:spacing w:after="160" w:line="360" w:lineRule="auto"/>
        <w:ind w:right="4"/>
        <w:jc w:val="center"/>
        <w:rPr>
          <w:rFonts w:ascii="Times New Roman" w:eastAsia="Calibri" w:hAnsi="Times New Roman"/>
          <w:lang w:eastAsia="en-US"/>
        </w:rPr>
      </w:pPr>
      <w:r w:rsidRPr="00CD3851">
        <w:rPr>
          <w:rFonts w:ascii="Times New Roman" w:eastAsia="Calibri" w:hAnsi="Times New Roman"/>
          <w:lang w:eastAsia="en-US"/>
        </w:rPr>
        <w:t>Radu Codruț ȘTEFĂNESCU</w:t>
      </w:r>
    </w:p>
    <w:p w14:paraId="18D914B6" w14:textId="77777777" w:rsidR="00CA33C2" w:rsidRPr="00CD3851" w:rsidRDefault="00CA33C2" w:rsidP="0063428B">
      <w:pPr>
        <w:spacing w:after="160" w:line="360" w:lineRule="auto"/>
        <w:ind w:right="4"/>
        <w:jc w:val="center"/>
        <w:rPr>
          <w:rFonts w:ascii="Times New Roman" w:eastAsia="Calibri" w:hAnsi="Times New Roman"/>
          <w:lang w:eastAsia="en-US"/>
        </w:rPr>
      </w:pPr>
    </w:p>
    <w:p w14:paraId="5AFC4815" w14:textId="77777777" w:rsidR="00CA33C2" w:rsidRPr="00CD3851" w:rsidRDefault="00CA33C2" w:rsidP="0063428B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  <w:r w:rsidRPr="00CD3851">
        <w:rPr>
          <w:rFonts w:ascii="Times New Roman" w:eastAsia="Calibri" w:hAnsi="Times New Roman"/>
          <w:lang w:eastAsia="en-US"/>
        </w:rPr>
        <w:t>București</w:t>
      </w:r>
    </w:p>
    <w:p w14:paraId="1B662FCA" w14:textId="77777777" w:rsidR="00CA33C2" w:rsidRPr="00CD3851" w:rsidRDefault="00CA33C2" w:rsidP="0063428B">
      <w:pPr>
        <w:spacing w:line="360" w:lineRule="auto"/>
        <w:ind w:right="4"/>
        <w:rPr>
          <w:rFonts w:ascii="Times New Roman" w:eastAsia="Calibri" w:hAnsi="Times New Roman"/>
        </w:rPr>
      </w:pPr>
      <w:r w:rsidRPr="00CD3851">
        <w:rPr>
          <w:rFonts w:ascii="Times New Roman" w:eastAsia="Calibri" w:hAnsi="Times New Roman"/>
          <w:lang w:eastAsia="en-US"/>
        </w:rPr>
        <w:t xml:space="preserve">Nr. </w:t>
      </w:r>
    </w:p>
    <w:p w14:paraId="3A4409E9" w14:textId="77777777" w:rsidR="005E54CD" w:rsidRPr="00CD3851" w:rsidRDefault="005E54CD" w:rsidP="0063428B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411624">
        <w:rPr>
          <w:rFonts w:ascii="Times New Roman" w:hAnsi="Times New Roman"/>
          <w:b/>
          <w:lang w:eastAsia="en-US"/>
        </w:rPr>
        <w:lastRenderedPageBreak/>
        <w:t>Anexă la Ordinul</w:t>
      </w:r>
      <w:r>
        <w:rPr>
          <w:rFonts w:ascii="Times New Roman" w:hAnsi="Times New Roman"/>
          <w:lang w:eastAsia="en-US"/>
        </w:rPr>
        <w:t xml:space="preserve"> </w:t>
      </w:r>
      <w:r w:rsidRPr="00CD3851">
        <w:rPr>
          <w:rFonts w:ascii="Times New Roman" w:hAnsi="Times New Roman"/>
          <w:b/>
        </w:rPr>
        <w:t xml:space="preserve">directorului general al Agenției Naționale de Cadastru și Publicitate Imobiliară </w:t>
      </w:r>
      <w:r w:rsidRPr="00CD3851">
        <w:rPr>
          <w:rFonts w:ascii="Times New Roman" w:eastAsia="Arial Unicode MS" w:hAnsi="Times New Roman"/>
          <w:b/>
        </w:rPr>
        <w:t xml:space="preserve">privind modificarea </w:t>
      </w:r>
      <w:r w:rsidR="004C6B2A">
        <w:rPr>
          <w:rFonts w:ascii="Times New Roman" w:eastAsia="Arial Unicode MS" w:hAnsi="Times New Roman"/>
          <w:b/>
        </w:rPr>
        <w:t xml:space="preserve">și completarea </w:t>
      </w:r>
      <w:r w:rsidRPr="00CD3851">
        <w:rPr>
          <w:rFonts w:ascii="Times New Roman" w:hAnsi="Times New Roman"/>
          <w:b/>
        </w:rPr>
        <w:t xml:space="preserve">Procedurii și modalității de alocare a sumelor, precum </w:t>
      </w:r>
      <w:proofErr w:type="spellStart"/>
      <w:r w:rsidRPr="00CD3851">
        <w:rPr>
          <w:rFonts w:ascii="Times New Roman" w:hAnsi="Times New Roman"/>
          <w:b/>
        </w:rPr>
        <w:t>şi</w:t>
      </w:r>
      <w:proofErr w:type="spellEnd"/>
      <w:r w:rsidRPr="00CD3851">
        <w:rPr>
          <w:rFonts w:ascii="Times New Roman" w:hAnsi="Times New Roman"/>
          <w:b/>
        </w:rPr>
        <w:t xml:space="preserve"> raportarea de către beneficiari a stadiului de </w:t>
      </w:r>
      <w:proofErr w:type="spellStart"/>
      <w:r w:rsidRPr="00CD3851">
        <w:rPr>
          <w:rFonts w:ascii="Times New Roman" w:hAnsi="Times New Roman"/>
          <w:b/>
        </w:rPr>
        <w:t>execuţie</w:t>
      </w:r>
      <w:proofErr w:type="spellEnd"/>
      <w:r w:rsidRPr="00CD3851">
        <w:rPr>
          <w:rFonts w:ascii="Times New Roman" w:hAnsi="Times New Roman"/>
          <w:b/>
        </w:rPr>
        <w:t xml:space="preserve"> a lucrărilor pentru lucrările de înregistrare sistematică </w:t>
      </w:r>
      <w:proofErr w:type="spellStart"/>
      <w:r w:rsidRPr="00CD3851">
        <w:rPr>
          <w:rFonts w:ascii="Times New Roman" w:hAnsi="Times New Roman"/>
          <w:b/>
        </w:rPr>
        <w:t>iniţiate</w:t>
      </w:r>
      <w:proofErr w:type="spellEnd"/>
      <w:r w:rsidRPr="00CD3851">
        <w:rPr>
          <w:rFonts w:ascii="Times New Roman" w:hAnsi="Times New Roman"/>
          <w:b/>
        </w:rPr>
        <w:t xml:space="preserve"> de </w:t>
      </w:r>
      <w:proofErr w:type="spellStart"/>
      <w:r w:rsidRPr="00CD3851">
        <w:rPr>
          <w:rFonts w:ascii="Times New Roman" w:hAnsi="Times New Roman"/>
          <w:b/>
        </w:rPr>
        <w:t>unităţile</w:t>
      </w:r>
      <w:proofErr w:type="spellEnd"/>
      <w:r w:rsidRPr="00CD3851">
        <w:rPr>
          <w:rFonts w:ascii="Times New Roman" w:hAnsi="Times New Roman"/>
          <w:b/>
        </w:rPr>
        <w:t xml:space="preserve"> administrativ-teritoriale, aprobată prin Ordinul directorului general al Agenției Naționale de Cadastru și Publicitate Imobiliară nr. 819/2016</w:t>
      </w:r>
      <w:r>
        <w:rPr>
          <w:rFonts w:ascii="Times New Roman" w:hAnsi="Times New Roman"/>
          <w:b/>
        </w:rPr>
        <w:t>, cu modificările și completările ulterioare</w:t>
      </w:r>
    </w:p>
    <w:p w14:paraId="5F3D0BF4" w14:textId="77777777" w:rsidR="005E54CD" w:rsidRPr="00CD3851" w:rsidRDefault="005E54CD" w:rsidP="0063428B">
      <w:pPr>
        <w:spacing w:line="360" w:lineRule="auto"/>
        <w:jc w:val="both"/>
        <w:rPr>
          <w:rFonts w:ascii="Times New Roman" w:hAnsi="Times New Roman"/>
          <w:b/>
          <w:lang w:eastAsia="ar-SA"/>
        </w:rPr>
      </w:pPr>
    </w:p>
    <w:p w14:paraId="44008773" w14:textId="77777777" w:rsidR="005E54CD" w:rsidRDefault="005E54CD" w:rsidP="0063428B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lang w:eastAsia="en-US"/>
        </w:rPr>
        <w:t xml:space="preserve">Procedura și modalitatea de alocare a sumelor, precum </w:t>
      </w:r>
      <w:proofErr w:type="spellStart"/>
      <w:r w:rsidRPr="00CD3851">
        <w:rPr>
          <w:rFonts w:ascii="Times New Roman" w:hAnsi="Times New Roman"/>
          <w:lang w:eastAsia="en-US"/>
        </w:rPr>
        <w:t>şi</w:t>
      </w:r>
      <w:proofErr w:type="spellEnd"/>
      <w:r w:rsidRPr="00CD3851">
        <w:rPr>
          <w:rFonts w:ascii="Times New Roman" w:hAnsi="Times New Roman"/>
          <w:lang w:eastAsia="en-US"/>
        </w:rPr>
        <w:t xml:space="preserve"> raportarea de către beneficiari a stadiului de </w:t>
      </w:r>
      <w:proofErr w:type="spellStart"/>
      <w:r w:rsidRPr="00CD3851">
        <w:rPr>
          <w:rFonts w:ascii="Times New Roman" w:hAnsi="Times New Roman"/>
          <w:lang w:eastAsia="en-US"/>
        </w:rPr>
        <w:t>execuţie</w:t>
      </w:r>
      <w:proofErr w:type="spellEnd"/>
      <w:r w:rsidRPr="00CD3851">
        <w:rPr>
          <w:rFonts w:ascii="Times New Roman" w:hAnsi="Times New Roman"/>
          <w:lang w:eastAsia="en-US"/>
        </w:rPr>
        <w:t xml:space="preserve"> a lucrărilor pentru lucrările de înregistrare sistematică </w:t>
      </w:r>
      <w:proofErr w:type="spellStart"/>
      <w:r w:rsidRPr="00CD3851">
        <w:rPr>
          <w:rFonts w:ascii="Times New Roman" w:hAnsi="Times New Roman"/>
          <w:lang w:eastAsia="en-US"/>
        </w:rPr>
        <w:t>iniţiate</w:t>
      </w:r>
      <w:proofErr w:type="spellEnd"/>
      <w:r w:rsidRPr="00CD3851">
        <w:rPr>
          <w:rFonts w:ascii="Times New Roman" w:hAnsi="Times New Roman"/>
          <w:lang w:eastAsia="en-US"/>
        </w:rPr>
        <w:t xml:space="preserve"> de </w:t>
      </w:r>
      <w:proofErr w:type="spellStart"/>
      <w:r w:rsidRPr="00CD3851">
        <w:rPr>
          <w:rFonts w:ascii="Times New Roman" w:hAnsi="Times New Roman"/>
          <w:lang w:eastAsia="en-US"/>
        </w:rPr>
        <w:t>unităţile</w:t>
      </w:r>
      <w:proofErr w:type="spellEnd"/>
      <w:r w:rsidRPr="00CD3851">
        <w:rPr>
          <w:rFonts w:ascii="Times New Roman" w:hAnsi="Times New Roman"/>
          <w:lang w:eastAsia="en-US"/>
        </w:rPr>
        <w:t xml:space="preserve"> administrativ-teritoriale, aprobată prin Ordinul directorului general al Agenției Naționale de Cadastru și Publicitate Imobiliară nr. 819/2016,</w:t>
      </w:r>
      <w:r>
        <w:rPr>
          <w:rFonts w:ascii="Times New Roman" w:hAnsi="Times New Roman"/>
          <w:lang w:eastAsia="en-US"/>
        </w:rPr>
        <w:t xml:space="preserve"> cu modificările și completările ulterioare,</w:t>
      </w:r>
      <w:r w:rsidRPr="00CD3851">
        <w:rPr>
          <w:rFonts w:ascii="Times New Roman" w:hAnsi="Times New Roman"/>
          <w:lang w:eastAsia="en-US"/>
        </w:rPr>
        <w:t xml:space="preserve"> publicat în Monitorul Oficial al României, Partea I, nr. 583 din 01 august 2016, se modifică</w:t>
      </w:r>
      <w:r w:rsidR="004C6B2A">
        <w:rPr>
          <w:rFonts w:ascii="Times New Roman" w:hAnsi="Times New Roman"/>
          <w:lang w:eastAsia="en-US"/>
        </w:rPr>
        <w:t xml:space="preserve"> și se completează</w:t>
      </w:r>
      <w:r w:rsidRPr="00CD3851">
        <w:rPr>
          <w:rFonts w:ascii="Times New Roman" w:hAnsi="Times New Roman"/>
          <w:lang w:eastAsia="en-US"/>
        </w:rPr>
        <w:t xml:space="preserve"> după cum urmează:</w:t>
      </w:r>
    </w:p>
    <w:p w14:paraId="635931A0" w14:textId="77777777" w:rsidR="005E54CD" w:rsidRPr="00CD3851" w:rsidRDefault="005E54CD" w:rsidP="0063428B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</w:p>
    <w:p w14:paraId="487F9209" w14:textId="45FE5E86" w:rsidR="001304E9" w:rsidRDefault="00A408D6" w:rsidP="002931D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931DC">
        <w:rPr>
          <w:rFonts w:ascii="Times New Roman" w:hAnsi="Times New Roman"/>
          <w:b/>
        </w:rPr>
        <w:t>1</w:t>
      </w:r>
      <w:r w:rsidR="00CC3524">
        <w:rPr>
          <w:rFonts w:ascii="Times New Roman" w:hAnsi="Times New Roman"/>
          <w:b/>
        </w:rPr>
        <w:t xml:space="preserve">. </w:t>
      </w:r>
      <w:r w:rsidR="00753ECE">
        <w:rPr>
          <w:rFonts w:ascii="Times New Roman" w:hAnsi="Times New Roman"/>
          <w:b/>
        </w:rPr>
        <w:t xml:space="preserve">La </w:t>
      </w:r>
      <w:r w:rsidR="00680407">
        <w:rPr>
          <w:rFonts w:ascii="Times New Roman" w:hAnsi="Times New Roman"/>
          <w:b/>
        </w:rPr>
        <w:t>a</w:t>
      </w:r>
      <w:r w:rsidR="001304E9">
        <w:rPr>
          <w:rFonts w:ascii="Times New Roman" w:hAnsi="Times New Roman"/>
          <w:b/>
        </w:rPr>
        <w:t xml:space="preserve">rticolul 5, alineatul </w:t>
      </w:r>
      <w:r w:rsidR="00680407">
        <w:rPr>
          <w:rFonts w:ascii="Times New Roman" w:hAnsi="Times New Roman"/>
          <w:b/>
        </w:rPr>
        <w:t>(</w:t>
      </w:r>
      <w:r w:rsidR="001304E9">
        <w:rPr>
          <w:rFonts w:ascii="Times New Roman" w:hAnsi="Times New Roman"/>
          <w:b/>
        </w:rPr>
        <w:t>2</w:t>
      </w:r>
      <w:r w:rsidR="00680407">
        <w:rPr>
          <w:rFonts w:ascii="Times New Roman" w:hAnsi="Times New Roman"/>
          <w:b/>
        </w:rPr>
        <w:t>)</w:t>
      </w:r>
      <w:r w:rsidR="001304E9">
        <w:rPr>
          <w:rFonts w:ascii="Times New Roman" w:hAnsi="Times New Roman"/>
          <w:b/>
        </w:rPr>
        <w:t xml:space="preserve"> al punctului 7 se modifică și </w:t>
      </w:r>
      <w:r w:rsidR="00680407">
        <w:rPr>
          <w:rFonts w:ascii="Times New Roman" w:hAnsi="Times New Roman"/>
          <w:b/>
        </w:rPr>
        <w:t>va avea următorul cuprins</w:t>
      </w:r>
      <w:r w:rsidR="001304E9">
        <w:rPr>
          <w:rFonts w:ascii="Times New Roman" w:hAnsi="Times New Roman"/>
          <w:b/>
        </w:rPr>
        <w:t>:</w:t>
      </w:r>
    </w:p>
    <w:p w14:paraId="61123F34" w14:textId="70259135" w:rsidR="001304E9" w:rsidRDefault="00680407" w:rsidP="0063428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80407">
        <w:rPr>
          <w:rFonts w:ascii="Times New Roman" w:hAnsi="Times New Roman"/>
          <w:bCs/>
        </w:rPr>
        <w:t>„</w:t>
      </w:r>
      <w:r w:rsidR="001304E9" w:rsidRPr="001304E9">
        <w:rPr>
          <w:rFonts w:ascii="Times New Roman" w:hAnsi="Times New Roman"/>
          <w:b/>
          <w:bCs/>
        </w:rPr>
        <w:t>(2)</w:t>
      </w:r>
      <w:r w:rsidR="001304E9" w:rsidRPr="001304E9">
        <w:rPr>
          <w:rFonts w:ascii="Times New Roman" w:hAnsi="Times New Roman"/>
        </w:rPr>
        <w:t xml:space="preserve"> Contractele de </w:t>
      </w:r>
      <w:r w:rsidRPr="001304E9">
        <w:rPr>
          <w:rFonts w:ascii="Times New Roman" w:hAnsi="Times New Roman"/>
        </w:rPr>
        <w:t>finanțare</w:t>
      </w:r>
      <w:r w:rsidR="001304E9" w:rsidRPr="001304E9">
        <w:rPr>
          <w:rFonts w:ascii="Times New Roman" w:hAnsi="Times New Roman"/>
        </w:rPr>
        <w:t xml:space="preserve"> se încheie în limita creditelor de angajament comunicate prin fila de buget, pentru o perioadă de cel mult </w:t>
      </w:r>
      <w:r w:rsidR="002931DC">
        <w:rPr>
          <w:rFonts w:ascii="Times New Roman" w:hAnsi="Times New Roman"/>
        </w:rPr>
        <w:t>1</w:t>
      </w:r>
      <w:r w:rsidR="004C4C39">
        <w:rPr>
          <w:rFonts w:ascii="Times New Roman" w:hAnsi="Times New Roman"/>
        </w:rPr>
        <w:t>8</w:t>
      </w:r>
      <w:r w:rsidR="001304E9" w:rsidRPr="001304E9">
        <w:rPr>
          <w:rFonts w:ascii="Times New Roman" w:hAnsi="Times New Roman"/>
        </w:rPr>
        <w:t xml:space="preserve"> de luni. </w:t>
      </w:r>
    </w:p>
    <w:p w14:paraId="140FA93A" w14:textId="77777777" w:rsidR="001304E9" w:rsidRDefault="001304E9" w:rsidP="0063428B">
      <w:pPr>
        <w:tabs>
          <w:tab w:val="left" w:pos="1170"/>
          <w:tab w:val="left" w:pos="1260"/>
        </w:tabs>
        <w:spacing w:line="360" w:lineRule="auto"/>
        <w:jc w:val="both"/>
        <w:rPr>
          <w:rFonts w:ascii="Times New Roman" w:hAnsi="Times New Roman"/>
          <w:b/>
        </w:rPr>
      </w:pPr>
    </w:p>
    <w:p w14:paraId="51709419" w14:textId="72C82318" w:rsidR="002931DC" w:rsidRDefault="00A408D6" w:rsidP="002931DC">
      <w:pPr>
        <w:tabs>
          <w:tab w:val="left" w:pos="720"/>
          <w:tab w:val="left" w:pos="990"/>
          <w:tab w:val="left" w:pos="11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931DC">
        <w:rPr>
          <w:rFonts w:ascii="Times New Roman" w:hAnsi="Times New Roman"/>
          <w:b/>
        </w:rPr>
        <w:t>2</w:t>
      </w:r>
      <w:r w:rsidR="007B118F">
        <w:rPr>
          <w:rFonts w:ascii="Times New Roman" w:hAnsi="Times New Roman"/>
          <w:b/>
        </w:rPr>
        <w:t xml:space="preserve">. </w:t>
      </w:r>
      <w:r w:rsidR="00753ECE">
        <w:rPr>
          <w:rFonts w:ascii="Times New Roman" w:hAnsi="Times New Roman"/>
          <w:b/>
        </w:rPr>
        <w:t xml:space="preserve">La </w:t>
      </w:r>
      <w:r w:rsidR="00680407">
        <w:rPr>
          <w:rFonts w:ascii="Times New Roman" w:hAnsi="Times New Roman"/>
          <w:b/>
        </w:rPr>
        <w:t>a</w:t>
      </w:r>
      <w:r w:rsidR="00C81D24" w:rsidRPr="00CC3524">
        <w:rPr>
          <w:rFonts w:ascii="Times New Roman" w:hAnsi="Times New Roman"/>
          <w:b/>
        </w:rPr>
        <w:t>rticolul</w:t>
      </w:r>
      <w:r w:rsidR="008751D1" w:rsidRPr="00CC3524">
        <w:rPr>
          <w:rFonts w:ascii="Times New Roman" w:hAnsi="Times New Roman"/>
          <w:b/>
        </w:rPr>
        <w:t xml:space="preserve"> 5,</w:t>
      </w:r>
      <w:r w:rsidR="002931DC">
        <w:rPr>
          <w:rFonts w:ascii="Times New Roman" w:hAnsi="Times New Roman"/>
          <w:b/>
        </w:rPr>
        <w:t xml:space="preserve"> după alineatul (2) </w:t>
      </w:r>
      <w:r w:rsidR="002931DC" w:rsidRPr="002931DC">
        <w:rPr>
          <w:rFonts w:ascii="Times New Roman" w:hAnsi="Times New Roman"/>
          <w:b/>
        </w:rPr>
        <w:t xml:space="preserve">al punctului 7 </w:t>
      </w:r>
      <w:r w:rsidR="002931DC">
        <w:rPr>
          <w:rFonts w:ascii="Times New Roman" w:hAnsi="Times New Roman"/>
          <w:b/>
        </w:rPr>
        <w:t>se introduce un nou alineat, alineatul (2</w:t>
      </w:r>
      <w:r w:rsidR="002931DC">
        <w:rPr>
          <w:rFonts w:ascii="Times New Roman" w:hAnsi="Times New Roman"/>
          <w:b/>
          <w:vertAlign w:val="superscript"/>
        </w:rPr>
        <w:t>1</w:t>
      </w:r>
      <w:r w:rsidR="002931DC">
        <w:rPr>
          <w:rFonts w:ascii="Times New Roman" w:hAnsi="Times New Roman"/>
          <w:b/>
        </w:rPr>
        <w:t>), care va avea următorul cuprins:</w:t>
      </w:r>
    </w:p>
    <w:p w14:paraId="37DBC8CC" w14:textId="46B0FED9" w:rsidR="00B07A65" w:rsidRPr="002931DC" w:rsidRDefault="002931DC" w:rsidP="0063428B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„</w:t>
      </w:r>
      <w:r w:rsidRPr="002931DC">
        <w:rPr>
          <w:rFonts w:ascii="Times New Roman" w:hAnsi="Times New Roman"/>
          <w:b/>
        </w:rPr>
        <w:t>(2</w:t>
      </w:r>
      <w:r>
        <w:rPr>
          <w:rFonts w:ascii="Times New Roman" w:hAnsi="Times New Roman"/>
          <w:b/>
          <w:vertAlign w:val="superscript"/>
        </w:rPr>
        <w:t>1</w:t>
      </w:r>
      <w:r w:rsidRPr="002931DC">
        <w:rPr>
          <w:rFonts w:ascii="Times New Roman" w:hAnsi="Times New Roman"/>
          <w:b/>
        </w:rPr>
        <w:t xml:space="preserve">) </w:t>
      </w:r>
      <w:r w:rsidRPr="002931DC">
        <w:rPr>
          <w:rFonts w:ascii="Times New Roman" w:hAnsi="Times New Roman"/>
        </w:rPr>
        <w:t>Prevederile alin. (2) referitoare la durata de valabilitate de 1</w:t>
      </w:r>
      <w:r w:rsidR="004C4C39">
        <w:rPr>
          <w:rFonts w:ascii="Times New Roman" w:hAnsi="Times New Roman"/>
        </w:rPr>
        <w:t>8</w:t>
      </w:r>
      <w:r w:rsidRPr="002931DC">
        <w:rPr>
          <w:rFonts w:ascii="Times New Roman" w:hAnsi="Times New Roman"/>
        </w:rPr>
        <w:t xml:space="preserve"> luni a contractului de finanțare se aplică contractelor de finanțare </w:t>
      </w:r>
      <w:r w:rsidR="004D19F6">
        <w:rPr>
          <w:rFonts w:ascii="Times New Roman" w:hAnsi="Times New Roman"/>
        </w:rPr>
        <w:t xml:space="preserve">în baza cărora nu au fost </w:t>
      </w:r>
      <w:r w:rsidRPr="002931DC">
        <w:rPr>
          <w:rFonts w:ascii="Times New Roman" w:hAnsi="Times New Roman"/>
        </w:rPr>
        <w:t xml:space="preserve">încheiate </w:t>
      </w:r>
      <w:r w:rsidR="004D19F6">
        <w:rPr>
          <w:rFonts w:ascii="Times New Roman" w:hAnsi="Times New Roman"/>
        </w:rPr>
        <w:t xml:space="preserve">contracte de </w:t>
      </w:r>
      <w:r w:rsidR="00FA5907">
        <w:rPr>
          <w:rFonts w:ascii="Times New Roman" w:hAnsi="Times New Roman"/>
        </w:rPr>
        <w:t>achiziție publică</w:t>
      </w:r>
      <w:bookmarkStart w:id="0" w:name="_GoBack"/>
      <w:bookmarkEnd w:id="0"/>
      <w:r w:rsidR="004D19F6">
        <w:rPr>
          <w:rFonts w:ascii="Times New Roman" w:hAnsi="Times New Roman"/>
        </w:rPr>
        <w:t xml:space="preserve"> până la </w:t>
      </w:r>
      <w:r w:rsidRPr="002931DC">
        <w:rPr>
          <w:rFonts w:ascii="Times New Roman" w:hAnsi="Times New Roman"/>
        </w:rPr>
        <w:t>instituirea acestui termen.</w:t>
      </w:r>
      <w:r>
        <w:rPr>
          <w:rFonts w:ascii="Times New Roman" w:hAnsi="Times New Roman"/>
        </w:rPr>
        <w:t>”</w:t>
      </w:r>
      <w:r w:rsidRPr="002931DC">
        <w:rPr>
          <w:rFonts w:ascii="Times New Roman" w:hAnsi="Times New Roman"/>
          <w:b/>
        </w:rPr>
        <w:t xml:space="preserve">  </w:t>
      </w:r>
    </w:p>
    <w:p w14:paraId="135DAB7F" w14:textId="77777777" w:rsidR="0013524C" w:rsidRDefault="0013524C" w:rsidP="0063428B">
      <w:pPr>
        <w:pStyle w:val="ListParagraph"/>
        <w:tabs>
          <w:tab w:val="left" w:pos="720"/>
          <w:tab w:val="left" w:pos="990"/>
          <w:tab w:val="left" w:pos="117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210A0D0" w14:textId="0BCF69F6" w:rsidR="00415BD8" w:rsidRPr="00415BD8" w:rsidRDefault="00A408D6" w:rsidP="002931DC">
      <w:pPr>
        <w:tabs>
          <w:tab w:val="left" w:pos="720"/>
          <w:tab w:val="left" w:pos="990"/>
          <w:tab w:val="left" w:pos="11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931DC">
        <w:rPr>
          <w:rFonts w:ascii="Times New Roman" w:hAnsi="Times New Roman"/>
          <w:b/>
        </w:rPr>
        <w:t>3</w:t>
      </w:r>
      <w:r w:rsidR="00A36474">
        <w:rPr>
          <w:rFonts w:ascii="Times New Roman" w:hAnsi="Times New Roman"/>
          <w:b/>
        </w:rPr>
        <w:t xml:space="preserve">. </w:t>
      </w:r>
      <w:r w:rsidR="00B40303" w:rsidRPr="00B40303">
        <w:rPr>
          <w:rFonts w:ascii="Times New Roman" w:hAnsi="Times New Roman"/>
          <w:b/>
        </w:rPr>
        <w:t>La articolul 6, în cadrul Anexei nr. 2 la procedură</w:t>
      </w:r>
      <w:r w:rsidR="001F17C6" w:rsidRPr="001F17C6">
        <w:rPr>
          <w:rFonts w:ascii="Times New Roman" w:hAnsi="Times New Roman"/>
          <w:b/>
        </w:rPr>
        <w:t>,</w:t>
      </w:r>
      <w:r w:rsidR="001F17C6">
        <w:rPr>
          <w:rFonts w:ascii="Times New Roman" w:hAnsi="Times New Roman"/>
          <w:b/>
        </w:rPr>
        <w:t xml:space="preserve"> articolul 5 </w:t>
      </w:r>
      <w:r w:rsidR="00B75068">
        <w:rPr>
          <w:rFonts w:ascii="Times New Roman" w:hAnsi="Times New Roman"/>
          <w:b/>
        </w:rPr>
        <w:t xml:space="preserve">se </w:t>
      </w:r>
      <w:r w:rsidR="001F17C6" w:rsidRPr="001F17C6">
        <w:rPr>
          <w:rFonts w:ascii="Times New Roman" w:hAnsi="Times New Roman"/>
          <w:b/>
        </w:rPr>
        <w:t xml:space="preserve">modifică </w:t>
      </w:r>
      <w:r w:rsidR="00AB5B84" w:rsidRPr="00E44A7C">
        <w:rPr>
          <w:rFonts w:ascii="Times New Roman" w:hAnsi="Times New Roman"/>
          <w:b/>
        </w:rPr>
        <w:t>și va avea următorul cuprins</w:t>
      </w:r>
      <w:r w:rsidR="001F17C6">
        <w:rPr>
          <w:rFonts w:ascii="Times New Roman" w:hAnsi="Times New Roman"/>
          <w:b/>
        </w:rPr>
        <w:t>:</w:t>
      </w:r>
    </w:p>
    <w:p w14:paraId="7CBD551C" w14:textId="77777777" w:rsidR="00B40303" w:rsidRDefault="00B40303" w:rsidP="00B40303">
      <w:pPr>
        <w:spacing w:line="360" w:lineRule="auto"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„</w:t>
      </w:r>
      <w:r w:rsidR="001F17C6" w:rsidRPr="00B40303">
        <w:rPr>
          <w:rFonts w:ascii="Times New Roman" w:hAnsi="Times New Roman"/>
          <w:b/>
          <w:bCs/>
          <w:color w:val="000000"/>
        </w:rPr>
        <w:t>ART</w:t>
      </w:r>
      <w:r w:rsidRPr="00B40303">
        <w:rPr>
          <w:rFonts w:ascii="Times New Roman" w:hAnsi="Times New Roman"/>
          <w:b/>
          <w:bCs/>
          <w:color w:val="000000"/>
        </w:rPr>
        <w:t>ICOLUL</w:t>
      </w:r>
      <w:r w:rsidR="001F17C6" w:rsidRPr="00B40303">
        <w:rPr>
          <w:rFonts w:ascii="Times New Roman" w:hAnsi="Times New Roman"/>
          <w:b/>
          <w:bCs/>
          <w:color w:val="000000"/>
        </w:rPr>
        <w:t xml:space="preserve"> 5 </w:t>
      </w:r>
    </w:p>
    <w:p w14:paraId="22F605A3" w14:textId="067700F2" w:rsidR="001F17C6" w:rsidRPr="001F17C6" w:rsidRDefault="001F17C6" w:rsidP="00B40303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40303">
        <w:rPr>
          <w:rFonts w:ascii="Times New Roman" w:hAnsi="Times New Roman"/>
          <w:b/>
          <w:color w:val="000000"/>
        </w:rPr>
        <w:t>Durata contractului</w:t>
      </w:r>
      <w:r w:rsidRPr="001F17C6">
        <w:rPr>
          <w:rFonts w:ascii="Times New Roman" w:hAnsi="Times New Roman"/>
          <w:color w:val="000000"/>
        </w:rPr>
        <w:t xml:space="preserve">  </w:t>
      </w:r>
    </w:p>
    <w:p w14:paraId="45A56DBF" w14:textId="3CDA19A0" w:rsidR="002931DC" w:rsidRPr="002931DC" w:rsidRDefault="002931DC" w:rsidP="002931DC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931DC">
        <w:rPr>
          <w:rFonts w:ascii="Times New Roman" w:hAnsi="Times New Roman"/>
          <w:color w:val="000000"/>
        </w:rPr>
        <w:t xml:space="preserve">Contractul de </w:t>
      </w:r>
      <w:proofErr w:type="spellStart"/>
      <w:r w:rsidRPr="002931DC">
        <w:rPr>
          <w:rFonts w:ascii="Times New Roman" w:hAnsi="Times New Roman"/>
          <w:color w:val="000000"/>
        </w:rPr>
        <w:t>finanţare</w:t>
      </w:r>
      <w:proofErr w:type="spellEnd"/>
      <w:r w:rsidRPr="002931DC">
        <w:rPr>
          <w:rFonts w:ascii="Times New Roman" w:hAnsi="Times New Roman"/>
          <w:color w:val="000000"/>
        </w:rPr>
        <w:t xml:space="preserve"> intră în vigoare la data semnării lui de către ambele </w:t>
      </w:r>
      <w:proofErr w:type="spellStart"/>
      <w:r w:rsidRPr="002931DC">
        <w:rPr>
          <w:rFonts w:ascii="Times New Roman" w:hAnsi="Times New Roman"/>
          <w:color w:val="000000"/>
        </w:rPr>
        <w:t>părţi</w:t>
      </w:r>
      <w:proofErr w:type="spellEnd"/>
      <w:r w:rsidRPr="002931DC">
        <w:rPr>
          <w:rFonts w:ascii="Times New Roman" w:hAnsi="Times New Roman"/>
          <w:color w:val="000000"/>
        </w:rPr>
        <w:t xml:space="preserve"> </w:t>
      </w:r>
      <w:proofErr w:type="spellStart"/>
      <w:r w:rsidRPr="002931DC">
        <w:rPr>
          <w:rFonts w:ascii="Times New Roman" w:hAnsi="Times New Roman"/>
          <w:color w:val="000000"/>
        </w:rPr>
        <w:t>şi</w:t>
      </w:r>
      <w:proofErr w:type="spellEnd"/>
      <w:r w:rsidRPr="002931DC">
        <w:rPr>
          <w:rFonts w:ascii="Times New Roman" w:hAnsi="Times New Roman"/>
          <w:color w:val="000000"/>
        </w:rPr>
        <w:t xml:space="preserve"> are valabilitate . . . . . . . . . .</w:t>
      </w:r>
      <w:r>
        <w:rPr>
          <w:rFonts w:ascii="Times New Roman" w:hAnsi="Times New Roman"/>
          <w:color w:val="000000"/>
          <w:vertAlign w:val="superscript"/>
        </w:rPr>
        <w:t>1</w:t>
      </w:r>
      <w:r w:rsidRPr="002931DC">
        <w:rPr>
          <w:rFonts w:ascii="Times New Roman" w:hAnsi="Times New Roman"/>
          <w:color w:val="000000"/>
        </w:rPr>
        <w:t xml:space="preserve"> de la data semnării.  </w:t>
      </w:r>
    </w:p>
    <w:p w14:paraId="07CF687F" w14:textId="3156B7B4" w:rsidR="002931DC" w:rsidRDefault="002931DC" w:rsidP="002931DC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931DC">
        <w:rPr>
          <w:rFonts w:ascii="Times New Roman" w:hAnsi="Times New Roman"/>
          <w:color w:val="000000"/>
        </w:rPr>
        <w:t xml:space="preserve">  </w:t>
      </w:r>
      <w:r w:rsidR="004A00FE">
        <w:rPr>
          <w:rFonts w:ascii="Times New Roman" w:hAnsi="Times New Roman"/>
          <w:color w:val="000000"/>
          <w:vertAlign w:val="superscript"/>
        </w:rPr>
        <w:t>1</w:t>
      </w:r>
      <w:r w:rsidRPr="002931DC">
        <w:rPr>
          <w:rFonts w:ascii="Times New Roman" w:hAnsi="Times New Roman"/>
          <w:color w:val="000000"/>
        </w:rPr>
        <w:t xml:space="preserve"> Se va completa cu încadrarea în termenul prevăzut la art. 5 punctul 7 alin. (2) din procedură.</w:t>
      </w:r>
      <w:r w:rsidR="00FB7D78">
        <w:rPr>
          <w:rFonts w:ascii="Times New Roman" w:hAnsi="Times New Roman"/>
          <w:color w:val="000000"/>
        </w:rPr>
        <w:t>”</w:t>
      </w:r>
      <w:r w:rsidRPr="002931DC">
        <w:rPr>
          <w:rFonts w:ascii="Times New Roman" w:hAnsi="Times New Roman"/>
          <w:color w:val="000000"/>
        </w:rPr>
        <w:t xml:space="preserve">  </w:t>
      </w:r>
    </w:p>
    <w:sectPr w:rsidR="002931DC" w:rsidSect="006B2DAA">
      <w:foot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1605" w14:textId="77777777" w:rsidR="004019FB" w:rsidRDefault="004019FB">
      <w:r>
        <w:separator/>
      </w:r>
    </w:p>
  </w:endnote>
  <w:endnote w:type="continuationSeparator" w:id="0">
    <w:p w14:paraId="493C9B67" w14:textId="77777777" w:rsidR="004019FB" w:rsidRDefault="0040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867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171B09C" w14:textId="77777777" w:rsidR="007D4FA6" w:rsidRPr="003A1EA8" w:rsidRDefault="00232A88">
        <w:pPr>
          <w:pStyle w:val="Footer"/>
          <w:jc w:val="center"/>
          <w:rPr>
            <w:rFonts w:ascii="Times New Roman" w:hAnsi="Times New Roman"/>
          </w:rPr>
        </w:pPr>
        <w:r w:rsidRPr="003A1EA8">
          <w:rPr>
            <w:rFonts w:ascii="Times New Roman" w:hAnsi="Times New Roman"/>
          </w:rPr>
          <w:fldChar w:fldCharType="begin"/>
        </w:r>
        <w:r w:rsidRPr="003A1EA8">
          <w:rPr>
            <w:rFonts w:ascii="Times New Roman" w:hAnsi="Times New Roman"/>
          </w:rPr>
          <w:instrText xml:space="preserve"> PAGE   \* MERGEFORMAT </w:instrText>
        </w:r>
        <w:r w:rsidRPr="003A1EA8">
          <w:rPr>
            <w:rFonts w:ascii="Times New Roman" w:hAnsi="Times New Roman"/>
          </w:rPr>
          <w:fldChar w:fldCharType="separate"/>
        </w:r>
        <w:r w:rsidR="00FA5907">
          <w:rPr>
            <w:rFonts w:ascii="Times New Roman" w:hAnsi="Times New Roman"/>
            <w:noProof/>
          </w:rPr>
          <w:t>1</w:t>
        </w:r>
        <w:r w:rsidRPr="003A1EA8">
          <w:rPr>
            <w:rFonts w:ascii="Times New Roman" w:hAnsi="Times New Roman"/>
            <w:noProof/>
          </w:rPr>
          <w:fldChar w:fldCharType="end"/>
        </w:r>
      </w:p>
    </w:sdtContent>
  </w:sdt>
  <w:p w14:paraId="31914A95" w14:textId="77777777" w:rsidR="007D4FA6" w:rsidRDefault="00401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F031" w14:textId="77777777" w:rsidR="004019FB" w:rsidRDefault="004019FB">
      <w:r>
        <w:separator/>
      </w:r>
    </w:p>
  </w:footnote>
  <w:footnote w:type="continuationSeparator" w:id="0">
    <w:p w14:paraId="5D7BC387" w14:textId="77777777" w:rsidR="004019FB" w:rsidRDefault="0040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084"/>
    <w:multiLevelType w:val="hybridMultilevel"/>
    <w:tmpl w:val="CC10FFEA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6" w:hanging="360"/>
      </w:pPr>
    </w:lvl>
    <w:lvl w:ilvl="2" w:tplc="0418001B" w:tentative="1">
      <w:start w:val="1"/>
      <w:numFmt w:val="lowerRoman"/>
      <w:lvlText w:val="%3."/>
      <w:lvlJc w:val="right"/>
      <w:pPr>
        <w:ind w:left="2316" w:hanging="180"/>
      </w:pPr>
    </w:lvl>
    <w:lvl w:ilvl="3" w:tplc="0418000F" w:tentative="1">
      <w:start w:val="1"/>
      <w:numFmt w:val="decimal"/>
      <w:lvlText w:val="%4."/>
      <w:lvlJc w:val="left"/>
      <w:pPr>
        <w:ind w:left="3036" w:hanging="360"/>
      </w:pPr>
    </w:lvl>
    <w:lvl w:ilvl="4" w:tplc="04180019" w:tentative="1">
      <w:start w:val="1"/>
      <w:numFmt w:val="lowerLetter"/>
      <w:lvlText w:val="%5."/>
      <w:lvlJc w:val="left"/>
      <w:pPr>
        <w:ind w:left="3756" w:hanging="360"/>
      </w:pPr>
    </w:lvl>
    <w:lvl w:ilvl="5" w:tplc="0418001B" w:tentative="1">
      <w:start w:val="1"/>
      <w:numFmt w:val="lowerRoman"/>
      <w:lvlText w:val="%6."/>
      <w:lvlJc w:val="right"/>
      <w:pPr>
        <w:ind w:left="4476" w:hanging="180"/>
      </w:pPr>
    </w:lvl>
    <w:lvl w:ilvl="6" w:tplc="0418000F" w:tentative="1">
      <w:start w:val="1"/>
      <w:numFmt w:val="decimal"/>
      <w:lvlText w:val="%7."/>
      <w:lvlJc w:val="left"/>
      <w:pPr>
        <w:ind w:left="5196" w:hanging="360"/>
      </w:pPr>
    </w:lvl>
    <w:lvl w:ilvl="7" w:tplc="04180019" w:tentative="1">
      <w:start w:val="1"/>
      <w:numFmt w:val="lowerLetter"/>
      <w:lvlText w:val="%8."/>
      <w:lvlJc w:val="left"/>
      <w:pPr>
        <w:ind w:left="5916" w:hanging="360"/>
      </w:pPr>
    </w:lvl>
    <w:lvl w:ilvl="8" w:tplc="0418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09BC18D9"/>
    <w:multiLevelType w:val="hybridMultilevel"/>
    <w:tmpl w:val="FA4E4D8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10A"/>
    <w:multiLevelType w:val="hybridMultilevel"/>
    <w:tmpl w:val="A8D81964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0FA97B81"/>
    <w:multiLevelType w:val="hybridMultilevel"/>
    <w:tmpl w:val="5A3048C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129C2B64"/>
    <w:multiLevelType w:val="hybridMultilevel"/>
    <w:tmpl w:val="35E4D6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0899"/>
    <w:multiLevelType w:val="hybridMultilevel"/>
    <w:tmpl w:val="481A5E72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262B75A5"/>
    <w:multiLevelType w:val="hybridMultilevel"/>
    <w:tmpl w:val="A7E47CEC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3B94698B"/>
    <w:multiLevelType w:val="hybridMultilevel"/>
    <w:tmpl w:val="04A22C86"/>
    <w:lvl w:ilvl="0" w:tplc="137AA59C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94E1D"/>
    <w:multiLevelType w:val="hybridMultilevel"/>
    <w:tmpl w:val="7E0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48BE"/>
    <w:multiLevelType w:val="hybridMultilevel"/>
    <w:tmpl w:val="AD12356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0295"/>
    <w:multiLevelType w:val="hybridMultilevel"/>
    <w:tmpl w:val="C1F468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5C98"/>
    <w:multiLevelType w:val="hybridMultilevel"/>
    <w:tmpl w:val="FA6471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0C6"/>
    <w:multiLevelType w:val="hybridMultilevel"/>
    <w:tmpl w:val="64C2E8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7775E"/>
    <w:multiLevelType w:val="hybridMultilevel"/>
    <w:tmpl w:val="0DBC510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1"/>
    <w:rsid w:val="00052573"/>
    <w:rsid w:val="00062C56"/>
    <w:rsid w:val="000852DD"/>
    <w:rsid w:val="000A5FF8"/>
    <w:rsid w:val="000B295B"/>
    <w:rsid w:val="000D3298"/>
    <w:rsid w:val="001208E5"/>
    <w:rsid w:val="001304E9"/>
    <w:rsid w:val="0013524C"/>
    <w:rsid w:val="00146986"/>
    <w:rsid w:val="001478F1"/>
    <w:rsid w:val="001628F9"/>
    <w:rsid w:val="00166370"/>
    <w:rsid w:val="001B3FAD"/>
    <w:rsid w:val="001B6048"/>
    <w:rsid w:val="001B7373"/>
    <w:rsid w:val="001D10AE"/>
    <w:rsid w:val="001E496B"/>
    <w:rsid w:val="001E6EA7"/>
    <w:rsid w:val="001F17C6"/>
    <w:rsid w:val="00214BF2"/>
    <w:rsid w:val="002232EB"/>
    <w:rsid w:val="00227FE9"/>
    <w:rsid w:val="00232A88"/>
    <w:rsid w:val="0023669E"/>
    <w:rsid w:val="002439F9"/>
    <w:rsid w:val="00264878"/>
    <w:rsid w:val="00276614"/>
    <w:rsid w:val="00284116"/>
    <w:rsid w:val="002907AA"/>
    <w:rsid w:val="002931DC"/>
    <w:rsid w:val="00293CC7"/>
    <w:rsid w:val="00296692"/>
    <w:rsid w:val="002A16C3"/>
    <w:rsid w:val="002A2449"/>
    <w:rsid w:val="002C0C06"/>
    <w:rsid w:val="002C3065"/>
    <w:rsid w:val="002C3731"/>
    <w:rsid w:val="002D257A"/>
    <w:rsid w:val="002D2D7C"/>
    <w:rsid w:val="002F7271"/>
    <w:rsid w:val="0031452B"/>
    <w:rsid w:val="0032088F"/>
    <w:rsid w:val="00351E81"/>
    <w:rsid w:val="003571D5"/>
    <w:rsid w:val="0036244E"/>
    <w:rsid w:val="00372B47"/>
    <w:rsid w:val="00376DAB"/>
    <w:rsid w:val="003879CF"/>
    <w:rsid w:val="003D4F87"/>
    <w:rsid w:val="003E292A"/>
    <w:rsid w:val="003E529C"/>
    <w:rsid w:val="003F301B"/>
    <w:rsid w:val="004019FB"/>
    <w:rsid w:val="00415BD8"/>
    <w:rsid w:val="00422364"/>
    <w:rsid w:val="004433AE"/>
    <w:rsid w:val="00447D22"/>
    <w:rsid w:val="0047026B"/>
    <w:rsid w:val="004755E3"/>
    <w:rsid w:val="00496099"/>
    <w:rsid w:val="004A00FE"/>
    <w:rsid w:val="004A27F2"/>
    <w:rsid w:val="004A685E"/>
    <w:rsid w:val="004B26AB"/>
    <w:rsid w:val="004C4C39"/>
    <w:rsid w:val="004C6B2A"/>
    <w:rsid w:val="004D19F6"/>
    <w:rsid w:val="004D2EB6"/>
    <w:rsid w:val="004D4F79"/>
    <w:rsid w:val="004E2773"/>
    <w:rsid w:val="005100ED"/>
    <w:rsid w:val="00515075"/>
    <w:rsid w:val="00542300"/>
    <w:rsid w:val="00550BDD"/>
    <w:rsid w:val="00553E05"/>
    <w:rsid w:val="00555B9E"/>
    <w:rsid w:val="00565675"/>
    <w:rsid w:val="005B041E"/>
    <w:rsid w:val="005E54CD"/>
    <w:rsid w:val="00611C38"/>
    <w:rsid w:val="00625D3B"/>
    <w:rsid w:val="0063428B"/>
    <w:rsid w:val="00665C11"/>
    <w:rsid w:val="00667FC3"/>
    <w:rsid w:val="00674D69"/>
    <w:rsid w:val="00680407"/>
    <w:rsid w:val="006F5735"/>
    <w:rsid w:val="00715ED2"/>
    <w:rsid w:val="00717EEE"/>
    <w:rsid w:val="00731A03"/>
    <w:rsid w:val="00747C72"/>
    <w:rsid w:val="00753ECE"/>
    <w:rsid w:val="00761024"/>
    <w:rsid w:val="007727D1"/>
    <w:rsid w:val="00774C59"/>
    <w:rsid w:val="00784FF4"/>
    <w:rsid w:val="00794E4D"/>
    <w:rsid w:val="007960B7"/>
    <w:rsid w:val="007B118F"/>
    <w:rsid w:val="007F0273"/>
    <w:rsid w:val="008208ED"/>
    <w:rsid w:val="0082351B"/>
    <w:rsid w:val="008329DB"/>
    <w:rsid w:val="00835960"/>
    <w:rsid w:val="008407DE"/>
    <w:rsid w:val="008574D1"/>
    <w:rsid w:val="008751D1"/>
    <w:rsid w:val="008A3BBC"/>
    <w:rsid w:val="008A599E"/>
    <w:rsid w:val="008B39D7"/>
    <w:rsid w:val="008D5B41"/>
    <w:rsid w:val="008F06E2"/>
    <w:rsid w:val="008F1B1C"/>
    <w:rsid w:val="0092164A"/>
    <w:rsid w:val="00924A01"/>
    <w:rsid w:val="00935323"/>
    <w:rsid w:val="009B29BA"/>
    <w:rsid w:val="009B7EB0"/>
    <w:rsid w:val="009C2636"/>
    <w:rsid w:val="009C4424"/>
    <w:rsid w:val="009F4CFB"/>
    <w:rsid w:val="009F548F"/>
    <w:rsid w:val="009F5FB0"/>
    <w:rsid w:val="00A14552"/>
    <w:rsid w:val="00A22D7E"/>
    <w:rsid w:val="00A344BE"/>
    <w:rsid w:val="00A36474"/>
    <w:rsid w:val="00A408D6"/>
    <w:rsid w:val="00A549BA"/>
    <w:rsid w:val="00A54FD4"/>
    <w:rsid w:val="00AA348E"/>
    <w:rsid w:val="00AB41A3"/>
    <w:rsid w:val="00AB56FB"/>
    <w:rsid w:val="00AB5B84"/>
    <w:rsid w:val="00AE775E"/>
    <w:rsid w:val="00B01C33"/>
    <w:rsid w:val="00B07A65"/>
    <w:rsid w:val="00B10401"/>
    <w:rsid w:val="00B16235"/>
    <w:rsid w:val="00B264CB"/>
    <w:rsid w:val="00B372C8"/>
    <w:rsid w:val="00B40062"/>
    <w:rsid w:val="00B40303"/>
    <w:rsid w:val="00B5052A"/>
    <w:rsid w:val="00B51008"/>
    <w:rsid w:val="00B75068"/>
    <w:rsid w:val="00B8003D"/>
    <w:rsid w:val="00C1016D"/>
    <w:rsid w:val="00C12E7D"/>
    <w:rsid w:val="00C52B88"/>
    <w:rsid w:val="00C640B3"/>
    <w:rsid w:val="00C65356"/>
    <w:rsid w:val="00C65788"/>
    <w:rsid w:val="00C720CF"/>
    <w:rsid w:val="00C81D24"/>
    <w:rsid w:val="00C85FF8"/>
    <w:rsid w:val="00CA33C2"/>
    <w:rsid w:val="00CA5161"/>
    <w:rsid w:val="00CC3524"/>
    <w:rsid w:val="00CC494F"/>
    <w:rsid w:val="00CC5FA0"/>
    <w:rsid w:val="00CE43CC"/>
    <w:rsid w:val="00D02AA6"/>
    <w:rsid w:val="00D12001"/>
    <w:rsid w:val="00D268E2"/>
    <w:rsid w:val="00D26AD1"/>
    <w:rsid w:val="00D537AF"/>
    <w:rsid w:val="00D76C8A"/>
    <w:rsid w:val="00DA5CC2"/>
    <w:rsid w:val="00DF2E23"/>
    <w:rsid w:val="00DF668F"/>
    <w:rsid w:val="00E00640"/>
    <w:rsid w:val="00E03CB7"/>
    <w:rsid w:val="00E04E64"/>
    <w:rsid w:val="00E44A7C"/>
    <w:rsid w:val="00E54DBD"/>
    <w:rsid w:val="00E66257"/>
    <w:rsid w:val="00E67C5D"/>
    <w:rsid w:val="00EC214F"/>
    <w:rsid w:val="00EC3ED2"/>
    <w:rsid w:val="00EE51FC"/>
    <w:rsid w:val="00EE56AD"/>
    <w:rsid w:val="00EF6D45"/>
    <w:rsid w:val="00F1304A"/>
    <w:rsid w:val="00F14742"/>
    <w:rsid w:val="00F23D6A"/>
    <w:rsid w:val="00F60DB6"/>
    <w:rsid w:val="00F6380E"/>
    <w:rsid w:val="00FA5907"/>
    <w:rsid w:val="00FB5ADE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1AC7"/>
  <w15:docId w15:val="{FB40B603-4D15-46B1-BD5D-DEC21434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C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l5def1">
    <w:name w:val="l5def1"/>
    <w:rsid w:val="00415BD8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41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D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D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5E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75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75E"/>
    <w:rPr>
      <w:rFonts w:ascii="Arial" w:eastAsia="Times New Roman" w:hAnsi="Arial" w:cs="Times New Roman"/>
      <w:b/>
      <w:bCs/>
      <w:sz w:val="20"/>
      <w:szCs w:val="20"/>
      <w:lang w:eastAsia="ro-RO"/>
    </w:rPr>
  </w:style>
  <w:style w:type="character" w:customStyle="1" w:styleId="l5ghi1">
    <w:name w:val="l5_ghi1"/>
    <w:rsid w:val="004E2773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33C2"/>
    <w:rPr>
      <w:color w:val="0563C1" w:themeColor="hyperlink"/>
      <w:u w:val="single"/>
    </w:rPr>
  </w:style>
  <w:style w:type="character" w:customStyle="1" w:styleId="l5not">
    <w:name w:val="l5_not"/>
    <w:basedOn w:val="DefaultParagraphFont"/>
    <w:rsid w:val="0082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10193037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33697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336975%2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ct:336975%2063428586" TargetMode="External"/><Relationship Id="rId4" Type="http://schemas.openxmlformats.org/officeDocument/2006/relationships/settings" Target="settings.xml"/><Relationship Id="rId9" Type="http://schemas.openxmlformats.org/officeDocument/2006/relationships/hyperlink" Target="act:336975%20634285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8319-3F9C-4AAA-8480-41B61E3A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Diana-Elena DRAGAN</dc:creator>
  <cp:lastModifiedBy>Diana-Elena DRAGAN</cp:lastModifiedBy>
  <cp:revision>9</cp:revision>
  <dcterms:created xsi:type="dcterms:W3CDTF">2018-09-10T12:10:00Z</dcterms:created>
  <dcterms:modified xsi:type="dcterms:W3CDTF">2018-09-10T14:03:00Z</dcterms:modified>
</cp:coreProperties>
</file>