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F0" w:rsidRPr="007439F0" w:rsidRDefault="007439F0" w:rsidP="007439F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7439F0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 xml:space="preserve">ANEXA </w:t>
      </w:r>
      <w:proofErr w:type="spellStart"/>
      <w:r w:rsidRPr="007439F0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Nr</w:t>
      </w:r>
      <w:proofErr w:type="spellEnd"/>
      <w:r w:rsidRPr="007439F0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. 13</w:t>
      </w:r>
      <w:r w:rsidRPr="007439F0">
        <w:rPr>
          <w:rFonts w:ascii="Arial" w:eastAsia="Times New Roman" w:hAnsi="Arial" w:cs="Arial"/>
          <w:color w:val="000000"/>
          <w:sz w:val="26"/>
          <w:szCs w:val="26"/>
        </w:rPr>
        <w:t xml:space="preserve">   </w:t>
      </w:r>
    </w:p>
    <w:p w:rsidR="007439F0" w:rsidRPr="007439F0" w:rsidRDefault="007439F0" w:rsidP="007439F0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</w:rPr>
      </w:pPr>
      <w:r w:rsidRPr="007439F0">
        <w:rPr>
          <w:rFonts w:ascii="Tahoma" w:eastAsia="Times New Roman" w:hAnsi="Tahoma" w:cs="Tahoma"/>
          <w:i/>
          <w:iCs/>
          <w:color w:val="339966"/>
        </w:rPr>
        <w:br/>
      </w:r>
      <w:r w:rsidRPr="007439F0">
        <w:rPr>
          <w:rFonts w:ascii="Tahoma" w:eastAsia="Times New Roman" w:hAnsi="Tahoma" w:cs="Tahoma"/>
          <w:i/>
          <w:iCs/>
          <w:color w:val="339966"/>
        </w:rPr>
        <w:br/>
        <w:t xml:space="preserve">  </w:t>
      </w:r>
    </w:p>
    <w:p w:rsidR="007439F0" w:rsidRPr="004D52B5" w:rsidRDefault="007439F0" w:rsidP="007439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OFICIUL DE CADASTRU ŞI PUBLICITATE IMOBILIARĂ . . . . . . . . . .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7439F0" w:rsidRPr="004D52B5" w:rsidRDefault="007439F0" w:rsidP="007439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BIROUL DE CADASTRU ŞI PUBLICITATE IMOBILIARĂ . . . . . . . . . .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7439F0" w:rsidRPr="004D52B5" w:rsidRDefault="007439F0" w:rsidP="004D52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. de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înregistrare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</w:t>
      </w:r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br/>
        <w:t>  CERERE DE RECEPŢIE ŞI ÎNSCRIERE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Subsemnatul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(a) . . . . . . . . . .,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domiciliat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(ă)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localitatea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str. . . . . . . . . . .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bl. . . . . . . . . . ., sc. . . . . . . . . . ., et. . . . . . . . . . ., ap. . . . . . . . . . .,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sectorul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judeţul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legitimat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(ă) cu CI/BI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CNP . . . . . . . . . ., tel./fax . . . . . . . . . ., e-mail . . . . . . . . . .,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împuternicesc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persoana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fizică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juridică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conform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Contractului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Angajamentului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 </w:t>
      </w:r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data</w:t>
      </w:r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înregistrarea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documentaţiei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la OCPI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rog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dispuneţi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000080"/>
          <w:sz w:val="20"/>
          <w:szCs w:val="20"/>
        </w:rPr>
        <w:t>I.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Obiectul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recepţiei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prima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înregistrare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sistemul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integrat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recepţie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cadastrală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înfiinţare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recepţie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alocare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număr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cadastral;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înfiinţare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recepţie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cadastrală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înfiinţare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imobile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situate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regiunile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carte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supuse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Decretului-lege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history="1">
        <w:proofErr w:type="spellStart"/>
        <w:r w:rsidRPr="004D52B5">
          <w:rPr>
            <w:rFonts w:ascii="Arial" w:eastAsia="Times New Roman" w:hAnsi="Arial" w:cs="Arial"/>
            <w:color w:val="0000FF"/>
            <w:sz w:val="20"/>
            <w:szCs w:val="20"/>
          </w:rPr>
          <w:t>nr</w:t>
        </w:r>
        <w:proofErr w:type="spellEnd"/>
        <w:r w:rsidRPr="004D52B5">
          <w:rPr>
            <w:rFonts w:ascii="Arial" w:eastAsia="Times New Roman" w:hAnsi="Arial" w:cs="Arial"/>
            <w:color w:val="0000FF"/>
            <w:sz w:val="20"/>
            <w:szCs w:val="20"/>
          </w:rPr>
          <w:t>. 115/1938;</w:t>
        </w:r>
      </w:hyperlink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actualizare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informaţii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cadastrale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înscriere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construcţii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extindere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radiere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construcţii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modificarea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limitei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proprietate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modificarea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suprafeţei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actualizare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categorii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folosinţă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destinaţii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repoziţionare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anulare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operaţiuni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cadastrale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informaţii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tehnice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imobil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înregistrarea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planul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cadastral </w:t>
      </w:r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imobilelor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situate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regiunile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carte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supuse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Decretului-lege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5" w:history="1">
        <w:proofErr w:type="spellStart"/>
        <w:r w:rsidRPr="004D52B5">
          <w:rPr>
            <w:rFonts w:ascii="Arial" w:eastAsia="Times New Roman" w:hAnsi="Arial" w:cs="Arial"/>
            <w:color w:val="0000FF"/>
            <w:sz w:val="20"/>
            <w:szCs w:val="20"/>
          </w:rPr>
          <w:t>nr</w:t>
        </w:r>
        <w:proofErr w:type="spellEnd"/>
        <w:r w:rsidRPr="004D52B5">
          <w:rPr>
            <w:rFonts w:ascii="Arial" w:eastAsia="Times New Roman" w:hAnsi="Arial" w:cs="Arial"/>
            <w:color w:val="0000FF"/>
            <w:sz w:val="20"/>
            <w:szCs w:val="20"/>
          </w:rPr>
          <w:t>. 115/1938:</w:t>
        </w:r>
      </w:hyperlink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înregistrarea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planul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cadastral;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înregistrarea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planul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cadastral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efectuarea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altor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operaţiuni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înregistrarea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planul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cadastral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înscriere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construcţie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C0C0C0"/>
          <w:sz w:val="20"/>
          <w:szCs w:val="20"/>
        </w:rPr>
        <w:t>-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înregistrarea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planul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cadastral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extindere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radiere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construcţie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documentaţia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identificare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amplasamentului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situat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un alt UAT;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documentaţie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atribuire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număr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cadastral;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documentaţie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dezlipire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alipire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teren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documentaţie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primă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înregistrare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UI;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documentaţie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apartamentare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documentaţie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dezlipire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alipire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UI;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documentaţie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reapartamentare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documentaţie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supraetajare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documentaţie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descrierea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dezmembrămintelor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dreptului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proprietate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documentaţie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reconstituirea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cărţii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funciare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pierdute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distruse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sustrase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-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îndreptarea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erorii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materiale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persoanei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autorizate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4D52B5">
        <w:rPr>
          <w:rFonts w:ascii="Arial" w:eastAsia="Times New Roman" w:hAnsi="Arial" w:cs="Arial"/>
          <w:b/>
          <w:bCs/>
          <w:color w:val="000080"/>
          <w:sz w:val="20"/>
          <w:szCs w:val="20"/>
        </w:rPr>
        <w:t>II.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Obiectul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înscrierii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intabularea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*) . . . . . . . . . .;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înscrierea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provizorie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**) . . . . . . . . . .;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notarea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***) . . . . . . . . . .;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radierea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****) . . . . . . . . . .;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    □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îndreptarea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erorii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materiale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******) . . . . . . . . . . .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Imobilul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: UAT . . . . . . . . . .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tbl>
      <w:tblPr>
        <w:tblW w:w="80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023"/>
        <w:gridCol w:w="1359"/>
        <w:gridCol w:w="1658"/>
        <w:gridCol w:w="518"/>
        <w:gridCol w:w="662"/>
        <w:gridCol w:w="470"/>
        <w:gridCol w:w="422"/>
        <w:gridCol w:w="1898"/>
      </w:tblGrid>
      <w:tr w:rsidR="007439F0" w:rsidRPr="004D52B5" w:rsidTr="007439F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39F0" w:rsidRPr="004D52B5" w:rsidTr="007439F0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Adresă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imobil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CF/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cad (IE)</w:t>
            </w:r>
          </w:p>
        </w:tc>
      </w:tr>
      <w:tr w:rsidR="007439F0" w:rsidRPr="004D52B5" w:rsidTr="007439F0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Localitate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Stradă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tarla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parcelă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Scară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Etaj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439F0" w:rsidRPr="004D52B5" w:rsidTr="007439F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Actul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juridic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justifică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cererea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anexat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original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copie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legalizată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: . . . . . . . . . .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Solicit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comunicarea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răspunsului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poştă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</w:t>
      </w:r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la</w:t>
      </w:r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sediul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biroului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teritorial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fax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e-mail . . . . . . . . . .;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□ </w:t>
      </w:r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online</w:t>
      </w:r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sistemul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integrat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.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Persoana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păstrează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originalul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copia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legalizată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înscrisurilor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certificate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art. 28</w:t>
      </w:r>
      <w:r w:rsidRPr="004D52B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6" w:history="1">
        <w:proofErr w:type="spellStart"/>
        <w:r w:rsidRPr="004D52B5">
          <w:rPr>
            <w:rFonts w:ascii="Arial" w:eastAsia="Times New Roman" w:hAnsi="Arial" w:cs="Arial"/>
            <w:color w:val="0000FF"/>
            <w:sz w:val="20"/>
            <w:szCs w:val="20"/>
          </w:rPr>
          <w:t>alin</w:t>
        </w:r>
        <w:proofErr w:type="spellEnd"/>
        <w:r w:rsidRPr="004D52B5">
          <w:rPr>
            <w:rFonts w:ascii="Arial" w:eastAsia="Times New Roman" w:hAnsi="Arial" w:cs="Arial"/>
            <w:color w:val="0000FF"/>
            <w:sz w:val="20"/>
            <w:szCs w:val="20"/>
          </w:rPr>
          <w:t>. (2)</w:t>
        </w:r>
      </w:hyperlink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din</w:t>
      </w:r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Legea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. 7/1996,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republicată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********),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. . . . . . . . . .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(Se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completează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prenumele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solicitantului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deponentului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.)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4436"/>
        <w:gridCol w:w="3132"/>
      </w:tblGrid>
      <w:tr w:rsidR="007439F0" w:rsidRPr="004D52B5" w:rsidTr="007439F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39F0" w:rsidRPr="004D52B5" w:rsidTr="007439F0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proprietarului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persoanei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interesate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persoanei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autorizate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</w:p>
        </w:tc>
      </w:tr>
    </w:tbl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7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4352"/>
        <w:gridCol w:w="683"/>
        <w:gridCol w:w="816"/>
        <w:gridCol w:w="1585"/>
      </w:tblGrid>
      <w:tr w:rsidR="007439F0" w:rsidRPr="004D52B5" w:rsidTr="007439F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39F0" w:rsidRPr="004D52B5" w:rsidTr="007439F0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Serviciu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achitat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chitanţa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proofErr w:type="spellEnd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*****)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Cod </w:t>
            </w:r>
            <w:proofErr w:type="spellStart"/>
            <w:r w:rsidRPr="004D52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serviciu</w:t>
            </w:r>
            <w:proofErr w:type="spellEnd"/>
          </w:p>
        </w:tc>
      </w:tr>
      <w:tr w:rsidR="007439F0" w:rsidRPr="004D52B5" w:rsidTr="007439F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39F0" w:rsidRPr="004D52B5" w:rsidRDefault="007439F0" w:rsidP="00743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439F0" w:rsidRPr="004D52B5" w:rsidRDefault="007439F0" w:rsidP="004D52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semnarea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prezentei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cereri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mă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oblig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respect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dispoziţiile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7" w:history="1">
        <w:proofErr w:type="spellStart"/>
        <w:r w:rsidRPr="004D52B5">
          <w:rPr>
            <w:rFonts w:ascii="Arial" w:eastAsia="Times New Roman" w:hAnsi="Arial" w:cs="Arial"/>
            <w:color w:val="0000FF"/>
            <w:sz w:val="20"/>
            <w:szCs w:val="20"/>
          </w:rPr>
          <w:t>nr</w:t>
        </w:r>
        <w:proofErr w:type="spellEnd"/>
        <w:r w:rsidRPr="004D52B5">
          <w:rPr>
            <w:rFonts w:ascii="Arial" w:eastAsia="Times New Roman" w:hAnsi="Arial" w:cs="Arial"/>
            <w:color w:val="0000FF"/>
            <w:sz w:val="20"/>
            <w:szCs w:val="20"/>
          </w:rPr>
          <w:t>. 190/2018</w:t>
        </w:r>
      </w:hyperlink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punere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aplicare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Regulamentului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8" w:history="1">
        <w:r w:rsidRPr="004D52B5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9" w:history="1">
        <w:r w:rsidRPr="004D52B5">
          <w:rPr>
            <w:rFonts w:ascii="Arial" w:eastAsia="Times New Roman" w:hAnsi="Arial" w:cs="Arial"/>
            <w:color w:val="0000FF"/>
            <w:sz w:val="20"/>
            <w:szCs w:val="20"/>
          </w:rPr>
          <w:t>95/46/CE</w:t>
        </w:r>
      </w:hyperlink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), cu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sensul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nedivulgării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care am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20"/>
          <w:szCs w:val="20"/>
        </w:rPr>
        <w:t>cunoştinţă</w:t>
      </w:r>
      <w:proofErr w:type="spellEnd"/>
      <w:r w:rsidRPr="004D52B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D52B5">
        <w:rPr>
          <w:rFonts w:ascii="Arial" w:eastAsia="Times New Roman" w:hAnsi="Arial" w:cs="Arial"/>
          <w:color w:val="000000"/>
          <w:sz w:val="20"/>
          <w:szCs w:val="20"/>
        </w:rPr>
        <w:br/>
        <w:t>   </w:t>
      </w:r>
      <w:r w:rsidRPr="004D52B5">
        <w:rPr>
          <w:rFonts w:ascii="Arial" w:eastAsia="Times New Roman" w:hAnsi="Arial" w:cs="Arial"/>
          <w:color w:val="000000"/>
          <w:sz w:val="16"/>
          <w:szCs w:val="16"/>
        </w:rPr>
        <w:t>  </w:t>
      </w:r>
      <w:r w:rsidRPr="004D52B5">
        <w:rPr>
          <w:rFonts w:ascii="Arial" w:eastAsia="Times New Roman" w:hAnsi="Arial" w:cs="Arial"/>
          <w:b/>
          <w:bCs/>
          <w:color w:val="2E8B57"/>
          <w:sz w:val="16"/>
          <w:szCs w:val="16"/>
        </w:rPr>
        <w:t>NOTĂ:</w:t>
      </w: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Oficiul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cadastru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publicitate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imobiliară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instituţie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publică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personalitate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juridică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aflată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subordinea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Agenţiei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Naţionale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Cadastru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Publicitate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Imobiliară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prelucrează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date cu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personal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furnizate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dumneavoastră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: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nume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prenume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serie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număr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act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identitate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cod numeric personal,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adresa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poştală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etc.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   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Datele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personal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sunt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prelucrate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către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operator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vederea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îndeplinirii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competenţelor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legale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evidenţele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cadastru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carte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funciară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pot fi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comunicate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numai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destinatarilor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abilitaţi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prin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acte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normative (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fldChar w:fldCharType="begin"/>
      </w:r>
      <w:r w:rsidRPr="004D52B5">
        <w:rPr>
          <w:rFonts w:ascii="Arial" w:eastAsia="Times New Roman" w:hAnsi="Arial" w:cs="Arial"/>
          <w:color w:val="000000"/>
          <w:sz w:val="16"/>
          <w:szCs w:val="16"/>
        </w:rPr>
        <w:instrText xml:space="preserve"> HYPERLINK "act:259009%200" </w:instrText>
      </w:r>
      <w:r w:rsidRPr="004D52B5">
        <w:rPr>
          <w:rFonts w:ascii="Arial" w:eastAsia="Times New Roman" w:hAnsi="Arial" w:cs="Arial"/>
          <w:color w:val="000000"/>
          <w:sz w:val="16"/>
          <w:szCs w:val="16"/>
        </w:rPr>
        <w:fldChar w:fldCharType="separate"/>
      </w:r>
      <w:r w:rsidRPr="004D52B5">
        <w:rPr>
          <w:rFonts w:ascii="Arial" w:eastAsia="Times New Roman" w:hAnsi="Arial" w:cs="Arial"/>
          <w:color w:val="0000FF"/>
          <w:sz w:val="16"/>
          <w:szCs w:val="16"/>
        </w:rPr>
        <w:t>Codul</w:t>
      </w:r>
      <w:proofErr w:type="spellEnd"/>
      <w:r w:rsidRPr="004D52B5">
        <w:rPr>
          <w:rFonts w:ascii="Arial" w:eastAsia="Times New Roman" w:hAnsi="Arial" w:cs="Arial"/>
          <w:color w:val="0000FF"/>
          <w:sz w:val="16"/>
          <w:szCs w:val="16"/>
        </w:rPr>
        <w:t xml:space="preserve"> civil</w:t>
      </w:r>
      <w:r w:rsidRPr="004D52B5">
        <w:rPr>
          <w:rFonts w:ascii="Arial" w:eastAsia="Times New Roman" w:hAnsi="Arial" w:cs="Arial"/>
          <w:color w:val="000000"/>
          <w:sz w:val="16"/>
          <w:szCs w:val="16"/>
        </w:rPr>
        <w:fldChar w:fldCharType="end"/>
      </w: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hyperlink r:id="rId10" w:history="1">
        <w:proofErr w:type="spellStart"/>
        <w:r w:rsidRPr="004D52B5">
          <w:rPr>
            <w:rFonts w:ascii="Arial" w:eastAsia="Times New Roman" w:hAnsi="Arial" w:cs="Arial"/>
            <w:color w:val="0000FF"/>
            <w:sz w:val="16"/>
            <w:szCs w:val="16"/>
          </w:rPr>
          <w:t>Codul</w:t>
        </w:r>
        <w:proofErr w:type="spellEnd"/>
        <w:r w:rsidRPr="004D52B5">
          <w:rPr>
            <w:rFonts w:ascii="Arial" w:eastAsia="Times New Roman" w:hAnsi="Arial" w:cs="Arial"/>
            <w:color w:val="0000FF"/>
            <w:sz w:val="16"/>
            <w:szCs w:val="16"/>
          </w:rPr>
          <w:t xml:space="preserve"> de </w:t>
        </w:r>
        <w:proofErr w:type="spellStart"/>
        <w:r w:rsidRPr="004D52B5">
          <w:rPr>
            <w:rFonts w:ascii="Arial" w:eastAsia="Times New Roman" w:hAnsi="Arial" w:cs="Arial"/>
            <w:color w:val="0000FF"/>
            <w:sz w:val="16"/>
            <w:szCs w:val="16"/>
          </w:rPr>
          <w:t>procedură</w:t>
        </w:r>
        <w:proofErr w:type="spellEnd"/>
        <w:r w:rsidRPr="004D52B5">
          <w:rPr>
            <w:rFonts w:ascii="Arial" w:eastAsia="Times New Roman" w:hAnsi="Arial" w:cs="Arial"/>
            <w:color w:val="0000FF"/>
            <w:sz w:val="16"/>
            <w:szCs w:val="16"/>
          </w:rPr>
          <w:t xml:space="preserve"> </w:t>
        </w:r>
        <w:proofErr w:type="spellStart"/>
        <w:r w:rsidRPr="004D52B5">
          <w:rPr>
            <w:rFonts w:ascii="Arial" w:eastAsia="Times New Roman" w:hAnsi="Arial" w:cs="Arial"/>
            <w:color w:val="0000FF"/>
            <w:sz w:val="16"/>
            <w:szCs w:val="16"/>
          </w:rPr>
          <w:t>civilă</w:t>
        </w:r>
        <w:proofErr w:type="spellEnd"/>
      </w:hyperlink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hyperlink r:id="rId11" w:history="1">
        <w:proofErr w:type="spellStart"/>
        <w:r w:rsidRPr="004D52B5">
          <w:rPr>
            <w:rFonts w:ascii="Arial" w:eastAsia="Times New Roman" w:hAnsi="Arial" w:cs="Arial"/>
            <w:color w:val="0000FF"/>
            <w:sz w:val="16"/>
            <w:szCs w:val="16"/>
          </w:rPr>
          <w:t>Codul</w:t>
        </w:r>
        <w:proofErr w:type="spellEnd"/>
        <w:r w:rsidRPr="004D52B5">
          <w:rPr>
            <w:rFonts w:ascii="Arial" w:eastAsia="Times New Roman" w:hAnsi="Arial" w:cs="Arial"/>
            <w:color w:val="0000FF"/>
            <w:sz w:val="16"/>
            <w:szCs w:val="16"/>
          </w:rPr>
          <w:t xml:space="preserve"> fiscal</w:t>
        </w:r>
      </w:hyperlink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alte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legi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speciale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),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inclusiv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organelor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poliţie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parchetelor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instanţelor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sau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altor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autorităţi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publice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condiţiile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legii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acest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sens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vă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informăm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vă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asigurăm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am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luat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măsuri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tehnice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organizatorice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adecvate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protejarea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dumneavoastră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.  </w:t>
      </w:r>
    </w:p>
    <w:p w:rsidR="007439F0" w:rsidRPr="004D52B5" w:rsidRDefault="007439F0" w:rsidP="007439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   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exercitarea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drepturilor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dumneavoastră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prevăzute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Regulamentul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(UE) </w:t>
      </w:r>
      <w:hyperlink r:id="rId12" w:history="1">
        <w:r w:rsidRPr="004D52B5">
          <w:rPr>
            <w:rFonts w:ascii="Arial" w:eastAsia="Times New Roman" w:hAnsi="Arial" w:cs="Arial"/>
            <w:color w:val="0000FF"/>
            <w:sz w:val="16"/>
            <w:szCs w:val="16"/>
          </w:rPr>
          <w:t>2016/679</w:t>
        </w:r>
      </w:hyperlink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al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Parlamentului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European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al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Consiliului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din 27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aprilie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2016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persoanelor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fizice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ceea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priveşte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prelucrarea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personal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libera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circulaţie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a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acestor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date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abrogare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a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Directivei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hyperlink r:id="rId13" w:history="1">
        <w:r w:rsidRPr="004D52B5">
          <w:rPr>
            <w:rFonts w:ascii="Arial" w:eastAsia="Times New Roman" w:hAnsi="Arial" w:cs="Arial"/>
            <w:color w:val="0000FF"/>
            <w:sz w:val="16"/>
            <w:szCs w:val="16"/>
          </w:rPr>
          <w:t>95/46/CE</w:t>
        </w:r>
      </w:hyperlink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Regulamentul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general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),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dar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orice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alte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informaţii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suplimentare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legate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personal,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vă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puteţi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adresa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responsabilului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la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adresa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="00E94D67" w:rsidRPr="00E94D67">
        <w:rPr>
          <w:rFonts w:ascii="Arial" w:eastAsia="Times New Roman" w:hAnsi="Arial" w:cs="Arial"/>
          <w:color w:val="000000"/>
          <w:sz w:val="16"/>
          <w:szCs w:val="16"/>
        </w:rPr>
        <w:t>rpd</w:t>
      </w:r>
      <w:proofErr w:type="spellEnd"/>
      <w:r w:rsidR="00E94D67" w:rsidRPr="00E94D67">
        <w:rPr>
          <w:rFonts w:ascii="Arial" w:eastAsia="Times New Roman" w:hAnsi="Arial" w:cs="Arial"/>
          <w:color w:val="000000"/>
          <w:sz w:val="16"/>
          <w:szCs w:val="16"/>
        </w:rPr>
        <w:t>_ alba@ancpi.ro</w:t>
      </w: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),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formulând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o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cerere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scrisă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datată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semnată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sau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la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telefon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>:</w:t>
      </w:r>
      <w:r w:rsidR="00E94D67" w:rsidRPr="00E94D67">
        <w:rPr>
          <w:b/>
          <w:sz w:val="20"/>
          <w:szCs w:val="20"/>
          <w:lang w:val="ro-RO"/>
        </w:rPr>
        <w:t xml:space="preserve"> </w:t>
      </w:r>
      <w:r w:rsidR="00E94D67" w:rsidRPr="00E94D67">
        <w:rPr>
          <w:rFonts w:ascii="Arial" w:eastAsia="Times New Roman" w:hAnsi="Arial" w:cs="Arial"/>
          <w:color w:val="000000"/>
          <w:sz w:val="16"/>
          <w:szCs w:val="16"/>
        </w:rPr>
        <w:t>0258-813170</w:t>
      </w: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).   </w:t>
      </w:r>
    </w:p>
    <w:p w:rsidR="007439F0" w:rsidRPr="004D52B5" w:rsidRDefault="007439F0" w:rsidP="004D5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   *)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Drept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proprietate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uz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uzufruct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abitaţie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servitute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concesiune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ipotecă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privilegiu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etc.  </w:t>
      </w:r>
    </w:p>
    <w:p w:rsidR="007439F0" w:rsidRPr="004D52B5" w:rsidRDefault="007439F0" w:rsidP="004D5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   **) Act sub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condiţie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suspensivă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hotărâre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judecătorească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nedefinitivă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.  </w:t>
      </w:r>
    </w:p>
    <w:p w:rsidR="007439F0" w:rsidRPr="004D52B5" w:rsidRDefault="007439F0" w:rsidP="004D5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   ***)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Incapacitatea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locaţiunea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preempţiunea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promisiunea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înstrăinare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schimbarea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rangului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ipote</w:t>
      </w:r>
      <w:bookmarkStart w:id="0" w:name="_GoBack"/>
      <w:bookmarkEnd w:id="0"/>
      <w:r w:rsidRPr="004D52B5">
        <w:rPr>
          <w:rFonts w:ascii="Arial" w:eastAsia="Times New Roman" w:hAnsi="Arial" w:cs="Arial"/>
          <w:color w:val="000000"/>
          <w:sz w:val="16"/>
          <w:szCs w:val="16"/>
        </w:rPr>
        <w:t>cii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acţiuni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justiţie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asupra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imobilului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cauză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orice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alte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fapte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sau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drepturi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personale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etc.  </w:t>
      </w:r>
    </w:p>
    <w:p w:rsidR="007439F0" w:rsidRPr="004D52B5" w:rsidRDefault="007439F0" w:rsidP="004D5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   ****)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Drepturi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reale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ipotecă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privilegiu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.  </w:t>
      </w:r>
    </w:p>
    <w:p w:rsidR="007439F0" w:rsidRPr="004D52B5" w:rsidRDefault="007439F0" w:rsidP="004D5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   *****) Se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va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completa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una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dintre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variantele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comunicare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.  </w:t>
      </w:r>
    </w:p>
    <w:p w:rsidR="007439F0" w:rsidRPr="004D52B5" w:rsidRDefault="007439F0" w:rsidP="004D5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   ******) Se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va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menţiona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eroarea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materială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.  </w:t>
      </w:r>
    </w:p>
    <w:p w:rsidR="007439F0" w:rsidRPr="004D52B5" w:rsidRDefault="007439F0" w:rsidP="004D5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   *******) Se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completează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datele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corespunzătoare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ale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responsabilului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desemnat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la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nivelul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fiecărui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OCPI.  </w:t>
      </w:r>
    </w:p>
    <w:p w:rsidR="007439F0" w:rsidRPr="004D52B5" w:rsidRDefault="007439F0" w:rsidP="004D5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   *******)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Menţiunea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nu </w:t>
      </w:r>
      <w:proofErr w:type="spellStart"/>
      <w:proofErr w:type="gram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este</w:t>
      </w:r>
      <w:proofErr w:type="spellEnd"/>
      <w:proofErr w:type="gram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obligatorie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pentru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actele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autentice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instrumentate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biroul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notarial deponent care au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termen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4D52B5">
        <w:rPr>
          <w:rFonts w:ascii="Arial" w:eastAsia="Times New Roman" w:hAnsi="Arial" w:cs="Arial"/>
          <w:color w:val="000000"/>
          <w:sz w:val="16"/>
          <w:szCs w:val="16"/>
        </w:rPr>
        <w:t>păstrare</w:t>
      </w:r>
      <w:proofErr w:type="spellEnd"/>
      <w:r w:rsidRPr="004D52B5">
        <w:rPr>
          <w:rFonts w:ascii="Arial" w:eastAsia="Times New Roman" w:hAnsi="Arial" w:cs="Arial"/>
          <w:color w:val="000000"/>
          <w:sz w:val="16"/>
          <w:szCs w:val="16"/>
        </w:rPr>
        <w:t xml:space="preserve"> permanent.</w:t>
      </w:r>
      <w:r w:rsidRPr="004D52B5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C3648F" w:rsidRDefault="00C3648F"/>
    <w:sectPr w:rsidR="00C364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F0"/>
    <w:rsid w:val="004D52B5"/>
    <w:rsid w:val="007439F0"/>
    <w:rsid w:val="00C3648F"/>
    <w:rsid w:val="00DC73B4"/>
    <w:rsid w:val="00E9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A52CB-A559-4A89-B2B6-AB40E78B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7439F0"/>
    <w:rPr>
      <w:color w:val="0000FF"/>
      <w:u w:val="single"/>
    </w:rPr>
  </w:style>
  <w:style w:type="character" w:customStyle="1" w:styleId="l5com1">
    <w:name w:val="l5com1"/>
    <w:basedOn w:val="Fontdeparagrafimplicit"/>
    <w:rsid w:val="007439F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58">
    <w:name w:val="l5def58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basedOn w:val="Fontdeparagrafimplicit"/>
    <w:rsid w:val="007439F0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Fontdeparagrafimplicit"/>
    <w:rsid w:val="007439F0"/>
    <w:rPr>
      <w:shd w:val="clear" w:color="auto" w:fill="E0E0F0"/>
    </w:rPr>
  </w:style>
  <w:style w:type="character" w:customStyle="1" w:styleId="l5not3">
    <w:name w:val="l5_not3"/>
    <w:basedOn w:val="Fontdeparagrafimplicit"/>
    <w:rsid w:val="007439F0"/>
    <w:rPr>
      <w:shd w:val="clear" w:color="auto" w:fill="E0E0F0"/>
    </w:rPr>
  </w:style>
  <w:style w:type="character" w:customStyle="1" w:styleId="l5not4">
    <w:name w:val="l5_not4"/>
    <w:basedOn w:val="Fontdeparagrafimplicit"/>
    <w:rsid w:val="007439F0"/>
    <w:rPr>
      <w:shd w:val="clear" w:color="auto" w:fill="E0E0F0"/>
    </w:rPr>
  </w:style>
  <w:style w:type="character" w:customStyle="1" w:styleId="l5not5">
    <w:name w:val="l5_not5"/>
    <w:basedOn w:val="Fontdeparagrafimplicit"/>
    <w:rsid w:val="007439F0"/>
    <w:rPr>
      <w:shd w:val="clear" w:color="auto" w:fill="E0E0F0"/>
    </w:rPr>
  </w:style>
  <w:style w:type="character" w:customStyle="1" w:styleId="l5not6">
    <w:name w:val="l5_not6"/>
    <w:basedOn w:val="Fontdeparagrafimplicit"/>
    <w:rsid w:val="007439F0"/>
    <w:rPr>
      <w:shd w:val="clear" w:color="auto" w:fill="E0E0F0"/>
    </w:rPr>
  </w:style>
  <w:style w:type="character" w:customStyle="1" w:styleId="l5not7">
    <w:name w:val="l5_not7"/>
    <w:basedOn w:val="Fontdeparagrafimplicit"/>
    <w:rsid w:val="007439F0"/>
    <w:rPr>
      <w:shd w:val="clear" w:color="auto" w:fill="E0E0F0"/>
    </w:rPr>
  </w:style>
  <w:style w:type="character" w:customStyle="1" w:styleId="l5not8">
    <w:name w:val="l5_not8"/>
    <w:basedOn w:val="Fontdeparagrafimplicit"/>
    <w:rsid w:val="007439F0"/>
    <w:rPr>
      <w:shd w:val="clear" w:color="auto" w:fill="E0E0F0"/>
    </w:rPr>
  </w:style>
  <w:style w:type="character" w:customStyle="1" w:styleId="l5not9">
    <w:name w:val="l5_not9"/>
    <w:basedOn w:val="Fontdeparagrafimplicit"/>
    <w:rsid w:val="007439F0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068075%200" TargetMode="External"/><Relationship Id="rId13" Type="http://schemas.openxmlformats.org/officeDocument/2006/relationships/hyperlink" Target="act:3668907%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2895425%200" TargetMode="External"/><Relationship Id="rId12" Type="http://schemas.openxmlformats.org/officeDocument/2006/relationships/hyperlink" Target="act:1068075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781121%20428520180" TargetMode="External"/><Relationship Id="rId11" Type="http://schemas.openxmlformats.org/officeDocument/2006/relationships/hyperlink" Target="act:767752%200" TargetMode="External"/><Relationship Id="rId5" Type="http://schemas.openxmlformats.org/officeDocument/2006/relationships/hyperlink" Target="act:93878%200" TargetMode="External"/><Relationship Id="rId15" Type="http://schemas.openxmlformats.org/officeDocument/2006/relationships/theme" Target="theme/theme1.xml"/><Relationship Id="rId10" Type="http://schemas.openxmlformats.org/officeDocument/2006/relationships/hyperlink" Target="act:630936%200" TargetMode="External"/><Relationship Id="rId4" Type="http://schemas.openxmlformats.org/officeDocument/2006/relationships/hyperlink" Target="act:93878%200" TargetMode="External"/><Relationship Id="rId9" Type="http://schemas.openxmlformats.org/officeDocument/2006/relationships/hyperlink" Target="act:3668907%2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Serban</dc:creator>
  <cp:keywords/>
  <dc:description/>
  <cp:lastModifiedBy>Roxana Serban</cp:lastModifiedBy>
  <cp:revision>4</cp:revision>
  <dcterms:created xsi:type="dcterms:W3CDTF">2023-09-07T05:51:00Z</dcterms:created>
  <dcterms:modified xsi:type="dcterms:W3CDTF">2023-09-07T05:56:00Z</dcterms:modified>
</cp:coreProperties>
</file>