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D7" w:rsidRPr="000802C2" w:rsidRDefault="009A04D7" w:rsidP="009A04D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 xml:space="preserve">ANEXA </w:t>
      </w:r>
      <w:proofErr w:type="spellStart"/>
      <w:r w:rsidRPr="000802C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Nr</w:t>
      </w:r>
      <w:proofErr w:type="spellEnd"/>
      <w:r w:rsidRPr="000802C2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</w:rPr>
        <w:t>. 15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  </w:t>
      </w:r>
    </w:p>
    <w:p w:rsidR="009A04D7" w:rsidRPr="000802C2" w:rsidRDefault="009A04D7" w:rsidP="009A04D7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339966"/>
          <w:sz w:val="20"/>
          <w:szCs w:val="20"/>
        </w:rPr>
      </w:pPr>
      <w:r w:rsidRPr="000802C2">
        <w:rPr>
          <w:rFonts w:ascii="Arial" w:eastAsia="Times New Roman" w:hAnsi="Arial" w:cs="Arial"/>
          <w:i/>
          <w:iCs/>
          <w:color w:val="339966"/>
          <w:sz w:val="20"/>
          <w:szCs w:val="20"/>
        </w:rPr>
        <w:br/>
        <w:t xml:space="preserve">  </w:t>
      </w:r>
    </w:p>
    <w:p w:rsidR="000802C2" w:rsidRDefault="009A04D7" w:rsidP="009A04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MEMORIU TEHNIC</w:t>
      </w:r>
    </w:p>
    <w:p w:rsidR="000802C2" w:rsidRDefault="000802C2" w:rsidP="009A04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0802C2" w:rsidRDefault="000802C2" w:rsidP="009A04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9A04D7" w:rsidRPr="000802C2" w:rsidRDefault="009A04D7" w:rsidP="009A04D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000080"/>
          <w:sz w:val="20"/>
          <w:szCs w:val="20"/>
        </w:rPr>
        <w:t>1.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/zona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care se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desfăşoară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lucrarea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000080"/>
          <w:sz w:val="20"/>
          <w:szCs w:val="20"/>
        </w:rPr>
        <w:t>2.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Tipul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lucrării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: . . . . . . . . . .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000080"/>
          <w:sz w:val="20"/>
          <w:szCs w:val="20"/>
        </w:rPr>
        <w:t>3.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Suprafaţa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planului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supus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recepţiei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000080"/>
          <w:sz w:val="20"/>
          <w:szCs w:val="20"/>
        </w:rPr>
        <w:t>4.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Scurtă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prezentare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scopului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întocmirii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lucrării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situaţiei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tehnice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juridice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istoricului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000080"/>
          <w:sz w:val="20"/>
          <w:szCs w:val="20"/>
        </w:rPr>
        <w:t>5.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Descrierea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generală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operaţiunilor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efectuate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faza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documentare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lucrării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localizarea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identificarea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descrierea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construcţiei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etc. . . . . . . . . . .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000080"/>
          <w:sz w:val="20"/>
          <w:szCs w:val="20"/>
        </w:rPr>
        <w:t>6.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Operaţiuni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specialitate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realizate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. . . . . . . . . .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 (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prezentarea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succintă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lucrărilor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geodezice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topografice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cadastrale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fotogrammetrice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realizate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cadrul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lucrării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metodele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aparatura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folosite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măsurători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punctele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geodezice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sprijin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vechi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noi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folosite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starea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punctelor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geodezice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vechi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măsurători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efectuate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reţeaua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îndesire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ridicare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ridicarea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detaliilor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topografice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clasice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GNSS,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descrierile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topografice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ale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punctelor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noi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reţeaua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îndesire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ridicare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preciziile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obţinute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descrieri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necesare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caz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funcţie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specificul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lucrării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aprecierea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persoanei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autorizate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se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poate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completa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elemente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suplimentare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.)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recepţia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planului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amplasament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delimitare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specific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expertizelor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judiciare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extrajudiciare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specialitatea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topografie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geodezie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cadastru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precum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planului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topografic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necesar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actualizării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suprafeţei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terenului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construcţiei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fiscale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registrul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agricol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notării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posesiei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înscrierii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dreptului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construcţiilor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conform art. 37 </w:t>
      </w:r>
      <w:hyperlink r:id="rId4" w:history="1">
        <w:proofErr w:type="spellStart"/>
        <w:r w:rsidRPr="000802C2">
          <w:rPr>
            <w:rFonts w:ascii="Arial" w:eastAsia="Times New Roman" w:hAnsi="Arial" w:cs="Arial"/>
            <w:color w:val="0000FF"/>
            <w:sz w:val="20"/>
            <w:szCs w:val="20"/>
          </w:rPr>
          <w:t>alin</w:t>
        </w:r>
        <w:proofErr w:type="spellEnd"/>
        <w:r w:rsidRPr="000802C2">
          <w:rPr>
            <w:rFonts w:ascii="Arial" w:eastAsia="Times New Roman" w:hAnsi="Arial" w:cs="Arial"/>
            <w:color w:val="0000FF"/>
            <w:sz w:val="20"/>
            <w:szCs w:val="20"/>
          </w:rPr>
          <w:t>. (2)</w:t>
        </w:r>
      </w:hyperlink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din</w:t>
      </w:r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Legea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cadastrului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publicităţii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imobiliare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 7/1996,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republicată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cu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se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menţiona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caz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a)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actului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actului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doveditor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posesiei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dacă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există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b)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declaraţiei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posesorului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prevăzută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la art. 41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. (8</w:t>
      </w:r>
      <w:r w:rsidRPr="000802C2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hyperlink r:id="rId5" w:history="1">
        <w:proofErr w:type="gramStart"/>
        <w:r w:rsidRPr="000802C2">
          <w:rPr>
            <w:rFonts w:ascii="Arial" w:eastAsia="Times New Roman" w:hAnsi="Arial" w:cs="Arial"/>
            <w:color w:val="0000FF"/>
            <w:sz w:val="20"/>
            <w:szCs w:val="20"/>
          </w:rPr>
          <w:t>lit</w:t>
        </w:r>
        <w:proofErr w:type="gramEnd"/>
        <w:r w:rsidRPr="000802C2">
          <w:rPr>
            <w:rFonts w:ascii="Arial" w:eastAsia="Times New Roman" w:hAnsi="Arial" w:cs="Arial"/>
            <w:color w:val="0000FF"/>
            <w:sz w:val="20"/>
            <w:szCs w:val="20"/>
          </w:rPr>
          <w:t>. d)</w:t>
        </w:r>
      </w:hyperlink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din</w:t>
      </w:r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Legea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 7/1996,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republicată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cu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după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caz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c)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suprafaţa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deţinută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suprafaţa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deţinută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posesie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terenurilor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d)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certificatului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atestare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fiscală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construcţiilor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e)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suprafaţa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construită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măsurată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suprafaţa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construită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înscrisă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evidenţele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fiscale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la data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efectuării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măsurătorilor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recepţia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planului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amplasament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delimitare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imobilelor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situate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intravilan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întocmit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emiterii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titlului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menţiona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: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a)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vecinătăţile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imobilului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b)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procesului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-verbal</w:t>
      </w:r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punere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posesie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adeverinţei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proprietate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c)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existenţa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construcţiilor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edificate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imobil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;  </w:t>
      </w:r>
    </w:p>
    <w:p w:rsidR="009A04D7" w:rsidRDefault="009A04D7" w:rsidP="000802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802C2">
        <w:rPr>
          <w:rFonts w:ascii="Arial" w:eastAsia="Times New Roman" w:hAnsi="Arial" w:cs="Arial"/>
          <w:color w:val="000000"/>
          <w:sz w:val="20"/>
          <w:szCs w:val="20"/>
        </w:rPr>
        <w:t>   </w:t>
      </w:r>
      <w:r w:rsidRPr="000802C2">
        <w:rPr>
          <w:rFonts w:ascii="Arial" w:eastAsia="Times New Roman" w:hAnsi="Arial" w:cs="Arial"/>
          <w:b/>
          <w:bCs/>
          <w:color w:val="808000"/>
          <w:sz w:val="20"/>
          <w:szCs w:val="20"/>
        </w:rPr>
        <w:t>d)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accesul</w:t>
      </w:r>
      <w:proofErr w:type="spellEnd"/>
      <w:proofErr w:type="gramEnd"/>
      <w:r w:rsidRPr="000802C2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0802C2">
        <w:rPr>
          <w:rFonts w:ascii="Arial" w:eastAsia="Times New Roman" w:hAnsi="Arial" w:cs="Arial"/>
          <w:color w:val="000000"/>
          <w:sz w:val="20"/>
          <w:szCs w:val="20"/>
        </w:rPr>
        <w:t>imobil</w:t>
      </w:r>
      <w:proofErr w:type="spellEnd"/>
      <w:r w:rsidRPr="000802C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802C2">
        <w:rPr>
          <w:rFonts w:ascii="Arial" w:eastAsia="Times New Roman" w:hAnsi="Arial" w:cs="Arial"/>
          <w:color w:val="000000"/>
          <w:sz w:val="20"/>
          <w:szCs w:val="20"/>
        </w:rPr>
        <w:br/>
        <w:t xml:space="preserve">  </w:t>
      </w:r>
    </w:p>
    <w:p w:rsidR="000802C2" w:rsidRDefault="000802C2" w:rsidP="000802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802C2" w:rsidRDefault="000802C2" w:rsidP="000802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802C2" w:rsidRDefault="000802C2" w:rsidP="000802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802C2" w:rsidRDefault="000802C2" w:rsidP="000802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802C2" w:rsidRDefault="000802C2" w:rsidP="000802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802C2" w:rsidRDefault="000802C2" w:rsidP="000802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802C2" w:rsidRPr="000802C2" w:rsidRDefault="000802C2" w:rsidP="000802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A04D7" w:rsidRPr="000802C2" w:rsidRDefault="009A04D7" w:rsidP="009A04D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2405"/>
        <w:gridCol w:w="5160"/>
      </w:tblGrid>
      <w:tr w:rsidR="009A04D7" w:rsidRPr="000802C2" w:rsidTr="009A04D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4D7" w:rsidRPr="000802C2" w:rsidRDefault="009A04D7" w:rsidP="009A04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04D7" w:rsidRPr="000802C2" w:rsidRDefault="009A04D7" w:rsidP="009A0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A04D7" w:rsidRPr="000802C2" w:rsidRDefault="009A04D7" w:rsidP="009A0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04D7" w:rsidRPr="000802C2" w:rsidTr="009A04D7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04D7" w:rsidRPr="000802C2" w:rsidRDefault="009A04D7" w:rsidP="009A04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04D7" w:rsidRPr="000802C2" w:rsidRDefault="009A04D7" w:rsidP="009A0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întocmirii</w:t>
            </w:r>
            <w:proofErr w:type="spellEnd"/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A04D7" w:rsidRPr="000802C2" w:rsidRDefault="009A04D7" w:rsidP="009A0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persoanei</w:t>
            </w:r>
            <w:proofErr w:type="spellEnd"/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autorizate</w:t>
            </w:r>
            <w:proofErr w:type="spellEnd"/>
            <w:r w:rsidRPr="000802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. . . . . . . . . .</w:t>
            </w:r>
          </w:p>
        </w:tc>
      </w:tr>
    </w:tbl>
    <w:p w:rsidR="00C3648F" w:rsidRPr="000802C2" w:rsidRDefault="00C3648F">
      <w:pPr>
        <w:rPr>
          <w:rFonts w:ascii="Arial" w:hAnsi="Arial" w:cs="Arial"/>
          <w:sz w:val="20"/>
          <w:szCs w:val="20"/>
        </w:rPr>
      </w:pPr>
    </w:p>
    <w:sectPr w:rsidR="00C3648F" w:rsidRPr="000802C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D7"/>
    <w:rsid w:val="000802C2"/>
    <w:rsid w:val="009A04D7"/>
    <w:rsid w:val="00C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007C-02CA-476D-96A4-6B18A1A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9A04D7"/>
    <w:rPr>
      <w:color w:val="0000FF"/>
      <w:u w:val="single"/>
    </w:rPr>
  </w:style>
  <w:style w:type="character" w:customStyle="1" w:styleId="l5com1">
    <w:name w:val="l5com1"/>
    <w:basedOn w:val="Fontdeparagrafimplicit"/>
    <w:rsid w:val="009A04D7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2">
    <w:name w:val="l5def2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Fontdeparagrafimplicit"/>
    <w:rsid w:val="009A04D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8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ct:781121%20428520212" TargetMode="External"/><Relationship Id="rId4" Type="http://schemas.openxmlformats.org/officeDocument/2006/relationships/hyperlink" Target="act:781121%20511718026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Serban</dc:creator>
  <cp:keywords/>
  <dc:description/>
  <cp:lastModifiedBy>Roxana Serban</cp:lastModifiedBy>
  <cp:revision>2</cp:revision>
  <dcterms:created xsi:type="dcterms:W3CDTF">2023-09-07T06:04:00Z</dcterms:created>
  <dcterms:modified xsi:type="dcterms:W3CDTF">2023-09-07T06:04:00Z</dcterms:modified>
</cp:coreProperties>
</file>