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77" w:rsidRPr="00BE33E6" w:rsidRDefault="00ED3C77" w:rsidP="00ED3C77">
      <w:pPr>
        <w:spacing w:line="360" w:lineRule="auto"/>
        <w:jc w:val="both"/>
        <w:rPr>
          <w:rFonts w:ascii="Trebuchet MS" w:hAnsi="Trebuchet MS"/>
          <w:b/>
        </w:rPr>
      </w:pPr>
    </w:p>
    <w:p w:rsidR="00BE33E6" w:rsidRDefault="00BE33E6" w:rsidP="00ED3C77">
      <w:pPr>
        <w:spacing w:line="360" w:lineRule="auto"/>
        <w:jc w:val="both"/>
        <w:rPr>
          <w:rFonts w:ascii="Trebuchet MS" w:hAnsi="Trebuchet MS"/>
          <w:b/>
        </w:rPr>
      </w:pPr>
    </w:p>
    <w:p w:rsidR="00EA38AA" w:rsidRDefault="00EA38AA" w:rsidP="00ED3C77">
      <w:pPr>
        <w:spacing w:line="360" w:lineRule="auto"/>
        <w:jc w:val="both"/>
        <w:rPr>
          <w:rFonts w:ascii="Trebuchet MS" w:hAnsi="Trebuchet MS"/>
          <w:b/>
        </w:rPr>
      </w:pPr>
    </w:p>
    <w:p w:rsidR="00EA38AA" w:rsidRPr="00BE33E6" w:rsidRDefault="00EA38AA" w:rsidP="00ED3C77">
      <w:pPr>
        <w:spacing w:line="360" w:lineRule="auto"/>
        <w:jc w:val="both"/>
        <w:rPr>
          <w:rFonts w:ascii="Trebuchet MS" w:hAnsi="Trebuchet MS"/>
          <w:b/>
        </w:rPr>
      </w:pPr>
    </w:p>
    <w:p w:rsidR="00ED3C77" w:rsidRPr="00BE33E6" w:rsidRDefault="00ED3C77" w:rsidP="00ED3C77">
      <w:pPr>
        <w:jc w:val="center"/>
        <w:rPr>
          <w:rFonts w:ascii="Trebuchet MS" w:hAnsi="Trebuchet MS"/>
          <w:b/>
        </w:rPr>
      </w:pPr>
      <w:r w:rsidRPr="00BE33E6">
        <w:rPr>
          <w:rFonts w:ascii="Trebuchet MS" w:hAnsi="Trebuchet MS"/>
          <w:b/>
        </w:rPr>
        <w:t>TEMATICĂ</w:t>
      </w:r>
    </w:p>
    <w:p w:rsidR="00ED3C77" w:rsidRPr="00BE33E6" w:rsidRDefault="00ED3C77" w:rsidP="00ED3C77">
      <w:pPr>
        <w:jc w:val="center"/>
        <w:rPr>
          <w:rFonts w:ascii="Trebuchet MS" w:hAnsi="Trebuchet MS"/>
          <w:b/>
          <w:lang w:eastAsia="en-US"/>
        </w:rPr>
      </w:pPr>
      <w:r w:rsidRPr="00BE33E6">
        <w:rPr>
          <w:rFonts w:ascii="Trebuchet MS" w:hAnsi="Trebuchet MS"/>
          <w:b/>
          <w:lang w:eastAsia="en-US"/>
        </w:rPr>
        <w:t>pentru concursul de consilier gr. IA din cadrul</w:t>
      </w:r>
    </w:p>
    <w:p w:rsidR="00ED3C77" w:rsidRPr="00BE33E6" w:rsidRDefault="00ED3C77" w:rsidP="00ED3C77">
      <w:pPr>
        <w:jc w:val="center"/>
        <w:rPr>
          <w:rFonts w:ascii="Trebuchet MS" w:hAnsi="Trebuchet MS"/>
          <w:b/>
          <w:lang w:eastAsia="en-US"/>
        </w:rPr>
      </w:pPr>
      <w:r w:rsidRPr="00BE33E6">
        <w:rPr>
          <w:rFonts w:ascii="Trebuchet MS" w:hAnsi="Trebuchet MS"/>
          <w:b/>
          <w:lang w:eastAsia="en-US"/>
        </w:rPr>
        <w:t>serviciului contabilitate din cadrul Direcției Economice</w:t>
      </w:r>
    </w:p>
    <w:p w:rsidR="00ED3C77" w:rsidRDefault="00ED3C77" w:rsidP="00ED3C77">
      <w:pPr>
        <w:jc w:val="both"/>
        <w:rPr>
          <w:rFonts w:ascii="Trebuchet MS" w:hAnsi="Trebuchet MS"/>
          <w:lang w:eastAsia="en-US"/>
        </w:rPr>
      </w:pPr>
    </w:p>
    <w:p w:rsidR="00EA38AA" w:rsidRDefault="00EA38AA" w:rsidP="00ED3C77">
      <w:pPr>
        <w:jc w:val="both"/>
        <w:rPr>
          <w:rFonts w:ascii="Trebuchet MS" w:hAnsi="Trebuchet MS"/>
          <w:lang w:eastAsia="en-US"/>
        </w:rPr>
      </w:pPr>
    </w:p>
    <w:p w:rsidR="00EA38AA" w:rsidRDefault="00EA38AA" w:rsidP="00ED3C77">
      <w:pPr>
        <w:jc w:val="both"/>
        <w:rPr>
          <w:rFonts w:ascii="Trebuchet MS" w:hAnsi="Trebuchet MS"/>
          <w:lang w:eastAsia="en-US"/>
        </w:rPr>
      </w:pPr>
    </w:p>
    <w:p w:rsidR="00EA38AA" w:rsidRPr="00BE33E6" w:rsidRDefault="00EA38AA" w:rsidP="00ED3C77">
      <w:pPr>
        <w:jc w:val="both"/>
        <w:rPr>
          <w:rFonts w:ascii="Trebuchet MS" w:hAnsi="Trebuchet MS"/>
          <w:lang w:eastAsia="en-US"/>
        </w:rPr>
      </w:pP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  <w:lang w:eastAsia="en-US"/>
        </w:rPr>
      </w:pPr>
      <w:r w:rsidRPr="00BE33E6">
        <w:rPr>
          <w:rFonts w:ascii="Trebuchet MS" w:hAnsi="Trebuchet MS"/>
          <w:color w:val="000000"/>
        </w:rPr>
        <w:t>Dispoziții generale;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  <w:lang w:eastAsia="en-US"/>
        </w:rPr>
      </w:pPr>
      <w:r w:rsidRPr="00BE33E6">
        <w:rPr>
          <w:rFonts w:ascii="Trebuchet MS" w:hAnsi="Trebuchet MS"/>
          <w:color w:val="000000"/>
        </w:rPr>
        <w:t>Organizarea activităţii de cadastru;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Organizarea şi atribuţiile Agenţiei Naţionale de Cadastru şi Publicitate Imobiliară;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Angajarea, lichidarea, ordonantarea si plata cheltuielilor;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Organizarea, evidenţa şi raportarea angajamentelor bugetare şi legale;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Impozitul pe venit: Dispoziții generale;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  <w:lang w:eastAsia="en-US"/>
        </w:rPr>
      </w:pPr>
      <w:r w:rsidRPr="00BE33E6">
        <w:rPr>
          <w:rFonts w:ascii="Trebuchet MS" w:hAnsi="Trebuchet MS"/>
        </w:rPr>
        <w:t>Impozitul pe venit: Venituri din salarii și asimilate salariilor;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  <w:lang w:eastAsia="en-US"/>
        </w:rPr>
      </w:pPr>
      <w:r w:rsidRPr="00BE33E6">
        <w:rPr>
          <w:rFonts w:ascii="Trebuchet MS" w:hAnsi="Trebuchet MS"/>
        </w:rPr>
        <w:t>Contribuții sociale obligatorii;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Concediile medicale;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Organizarea și conducerea contabilității;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Situații financiare;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Aprobarea, depunerea și componența situațiilor financiare;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Prevederi referitoare la elementele de bilant;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Style w:val="l5def1"/>
          <w:rFonts w:ascii="Trebuchet MS" w:hAnsi="Trebuchet MS"/>
          <w:sz w:val="24"/>
          <w:szCs w:val="24"/>
        </w:rPr>
        <w:t>Contractul individual de muncă</w:t>
      </w:r>
      <w:r w:rsidRPr="00BE33E6">
        <w:rPr>
          <w:rFonts w:ascii="Trebuchet MS" w:hAnsi="Trebuchet MS"/>
          <w:color w:val="000000"/>
        </w:rPr>
        <w:t>;</w:t>
      </w:r>
    </w:p>
    <w:p w:rsidR="00ED3C77" w:rsidRPr="00BE33E6" w:rsidRDefault="00ED3C77" w:rsidP="00ED3C77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Style w:val="l5def1"/>
          <w:rFonts w:ascii="Trebuchet MS" w:hAnsi="Trebuchet MS"/>
          <w:sz w:val="24"/>
          <w:szCs w:val="24"/>
        </w:rPr>
        <w:t>Timpul de muncă şi timpul de odihnă</w:t>
      </w:r>
      <w:r w:rsidRPr="00BE33E6">
        <w:rPr>
          <w:rFonts w:ascii="Trebuchet MS" w:hAnsi="Trebuchet MS"/>
          <w:color w:val="000000"/>
        </w:rPr>
        <w:t>;</w:t>
      </w:r>
    </w:p>
    <w:p w:rsidR="00BE33E6" w:rsidRPr="00BE33E6" w:rsidRDefault="00ED3C77" w:rsidP="00BE33E6">
      <w:pPr>
        <w:pStyle w:val="ListParagraph"/>
        <w:numPr>
          <w:ilvl w:val="0"/>
          <w:numId w:val="1"/>
        </w:numPr>
        <w:spacing w:line="360" w:lineRule="auto"/>
        <w:ind w:left="270"/>
        <w:jc w:val="both"/>
        <w:rPr>
          <w:rFonts w:ascii="Trebuchet MS" w:hAnsi="Trebuchet MS"/>
        </w:rPr>
      </w:pPr>
      <w:r w:rsidRPr="00BE33E6">
        <w:rPr>
          <w:rFonts w:ascii="Trebuchet MS" w:hAnsi="Trebuchet MS"/>
        </w:rPr>
        <w:t>Salarizarea;</w:t>
      </w:r>
    </w:p>
    <w:p w:rsidR="00BE33E6" w:rsidRPr="00BE33E6" w:rsidRDefault="00BE33E6" w:rsidP="00BE33E6">
      <w:pPr>
        <w:spacing w:line="360" w:lineRule="auto"/>
        <w:ind w:left="-90"/>
        <w:jc w:val="both"/>
        <w:rPr>
          <w:rFonts w:ascii="Cambria Math" w:hAnsi="Cambria Math"/>
        </w:rPr>
      </w:pPr>
    </w:p>
    <w:p w:rsidR="00BE33E6" w:rsidRDefault="00BE33E6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EA38AA" w:rsidRDefault="00EA38AA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EA38AA" w:rsidRDefault="00EA38AA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EA38AA" w:rsidRDefault="00EA38AA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EA38AA" w:rsidRDefault="00EA38AA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EA38AA" w:rsidRDefault="00EA38AA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EA38AA" w:rsidRDefault="00EA38AA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BE33E6" w:rsidRDefault="00BE33E6" w:rsidP="00BE33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BE33E6" w:rsidRPr="00BE33E6" w:rsidRDefault="00BE33E6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b/>
          <w:szCs w:val="22"/>
          <w:lang w:eastAsia="en-US"/>
        </w:rPr>
        <w:t>BIBLIOGRAFIE</w:t>
      </w:r>
    </w:p>
    <w:p w:rsidR="00BE33E6" w:rsidRPr="00BE33E6" w:rsidRDefault="00BE33E6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b/>
          <w:szCs w:val="22"/>
          <w:lang w:eastAsia="en-US"/>
        </w:rPr>
        <w:t>pentru examenul de promovare în grad profesional</w:t>
      </w:r>
    </w:p>
    <w:p w:rsidR="00BE33E6" w:rsidRDefault="00BE33E6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b/>
          <w:szCs w:val="22"/>
          <w:lang w:eastAsia="en-US"/>
        </w:rPr>
        <w:t>pentru postul de consilier gradul IA</w:t>
      </w:r>
    </w:p>
    <w:p w:rsidR="00EA38AA" w:rsidRDefault="00EA38AA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</w:p>
    <w:p w:rsidR="00EA38AA" w:rsidRDefault="00EA38AA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</w:p>
    <w:p w:rsidR="00EA38AA" w:rsidRDefault="00EA38AA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</w:p>
    <w:p w:rsidR="00EA38AA" w:rsidRDefault="00EA38AA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  <w:bookmarkStart w:id="0" w:name="_GoBack"/>
      <w:bookmarkEnd w:id="0"/>
    </w:p>
    <w:p w:rsidR="00BE33E6" w:rsidRPr="00BE33E6" w:rsidRDefault="00BE33E6" w:rsidP="00BE33E6">
      <w:pPr>
        <w:spacing w:after="160"/>
        <w:contextualSpacing/>
        <w:jc w:val="center"/>
        <w:rPr>
          <w:rFonts w:ascii="Trebuchet MS" w:eastAsiaTheme="minorHAnsi" w:hAnsi="Trebuchet MS" w:cstheme="minorBidi"/>
          <w:b/>
          <w:szCs w:val="22"/>
          <w:lang w:eastAsia="en-US"/>
        </w:rPr>
      </w:pP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szCs w:val="22"/>
          <w:lang w:eastAsia="en-US"/>
        </w:rPr>
        <w:t>Legea nr. 53/2003 privind Codul Muncii, cu modificările şi completările ulterioare;</w:t>
      </w: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szCs w:val="22"/>
          <w:lang w:eastAsia="en-US"/>
        </w:rPr>
        <w:t>Legea contabilității nr. 82/1991, republicată, cu modificările şi completările ulterioare;</w:t>
      </w: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szCs w:val="22"/>
          <w:lang w:eastAsia="en-US"/>
        </w:rPr>
        <w:t>Ordinul nr. 1792/2002 pentru aprobarea Normelor metodologice privind angajarea, lichidarea, ordonanţarea şi plata cheltuielilor instituţiilor publice, precum şi organizarea, evidenţa şi raportarea angajamentelor bugetare şi legale;</w:t>
      </w: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bCs/>
          <w:szCs w:val="22"/>
          <w:lang w:eastAsia="en-US"/>
        </w:rPr>
        <w:t>Ordonanţa de urgență nr. 158/2005 privind concediile şi indemnizaţiile de asigurări sociale de sănătate</w:t>
      </w:r>
      <w:r w:rsidRPr="00BE33E6">
        <w:rPr>
          <w:rFonts w:ascii="Trebuchet MS" w:eastAsiaTheme="minorHAnsi" w:hAnsi="Trebuchet MS" w:cstheme="minorBidi"/>
          <w:szCs w:val="22"/>
          <w:lang w:eastAsia="en-US"/>
        </w:rPr>
        <w:t>;</w:t>
      </w: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szCs w:val="22"/>
          <w:lang w:eastAsia="en-US"/>
        </w:rPr>
        <w:t>Hotărârea Guvernului  nr. 1288/2012 pentru aprobarea Regulamentului de organizare și funcționare a Agenției Naționale de Cadastru și Publicitate Imobiliară, cu modificările ulterioare;</w:t>
      </w: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szCs w:val="22"/>
          <w:lang w:eastAsia="en-US"/>
        </w:rPr>
        <w:t>Legea nr. 7/1996 a cadastrului și publicității imobiliare, cu modificările şi completările ulterioare;</w:t>
      </w:r>
    </w:p>
    <w:p w:rsidR="00BE33E6" w:rsidRPr="00BE33E6" w:rsidRDefault="00BE33E6" w:rsidP="00BE33E6">
      <w:pPr>
        <w:numPr>
          <w:ilvl w:val="0"/>
          <w:numId w:val="2"/>
        </w:numPr>
        <w:spacing w:after="160" w:line="259" w:lineRule="auto"/>
        <w:rPr>
          <w:rFonts w:ascii="Trebuchet MS" w:eastAsiaTheme="minorHAnsi" w:hAnsi="Trebuchet MS" w:cstheme="minorBidi"/>
          <w:szCs w:val="22"/>
          <w:lang w:eastAsia="en-US"/>
        </w:rPr>
      </w:pPr>
      <w:r w:rsidRPr="00BE33E6">
        <w:rPr>
          <w:rFonts w:ascii="Trebuchet MS" w:eastAsiaTheme="minorHAnsi" w:hAnsi="Trebuchet MS" w:cstheme="minorBidi"/>
          <w:szCs w:val="22"/>
          <w:lang w:eastAsia="en-US"/>
        </w:rPr>
        <w:t xml:space="preserve">Ordinul nr. 1917/2005 pentru aprobarea Normelor metodologice privind organizarea şi conducerea contabilităţii instituţiilor publice, Planul de conturi pentru instituţiile publice şi instrucţiunile de aplicare a acestuia. </w:t>
      </w:r>
    </w:p>
    <w:sectPr w:rsidR="00BE33E6" w:rsidRPr="00BE33E6" w:rsidSect="00BE33E6">
      <w:headerReference w:type="default" r:id="rId7"/>
      <w:footerReference w:type="default" r:id="rId8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D7F" w:rsidRDefault="00D83D7F" w:rsidP="00BE33E6">
      <w:r>
        <w:separator/>
      </w:r>
    </w:p>
  </w:endnote>
  <w:endnote w:type="continuationSeparator" w:id="0">
    <w:p w:rsidR="00D83D7F" w:rsidRDefault="00D83D7F" w:rsidP="00BE3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206637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54082398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BE33E6" w:rsidRPr="001450A6" w:rsidRDefault="00BE33E6" w:rsidP="00BE33E6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1B42AA9" wp14:editId="77D5486B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67" name="Picture 67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</w:t>
            </w:r>
            <w:r w:rsidRPr="009B1CC5">
              <w:rPr>
                <w:sz w:val="16"/>
                <w:szCs w:val="16"/>
              </w:rPr>
              <w:t>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          </w:t>
            </w:r>
            <w:r>
              <w:rPr>
                <w:sz w:val="14"/>
                <w:szCs w:val="14"/>
              </w:rPr>
              <w:t>Certificat SR EN ISO 9001:2015</w:t>
            </w:r>
          </w:p>
          <w:p w:rsidR="00BE33E6" w:rsidRDefault="00BE33E6" w:rsidP="00BE33E6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BE33E6" w:rsidRPr="009D01D7" w:rsidRDefault="00BE33E6" w:rsidP="00BE33E6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  <w:p w:rsidR="00BE33E6" w:rsidRDefault="00BE33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D7F" w:rsidRDefault="00D83D7F" w:rsidP="00BE33E6">
      <w:r>
        <w:separator/>
      </w:r>
    </w:p>
  </w:footnote>
  <w:footnote w:type="continuationSeparator" w:id="0">
    <w:p w:rsidR="00D83D7F" w:rsidRDefault="00D83D7F" w:rsidP="00BE3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3E6" w:rsidRDefault="00BE33E6">
    <w:pPr>
      <w:pStyle w:val="Header"/>
    </w:pPr>
    <w:r w:rsidRPr="00AB52F3">
      <w:rPr>
        <w:noProof/>
        <w:lang w:val="en-US" w:eastAsia="en-US"/>
      </w:rPr>
      <w:drawing>
        <wp:inline distT="0" distB="0" distL="0" distR="0" wp14:anchorId="7FFBDE86" wp14:editId="7C94C452">
          <wp:extent cx="861060" cy="861060"/>
          <wp:effectExtent l="0" t="0" r="0" b="0"/>
          <wp:docPr id="65" name="Picture 65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111CA">
      <w:rPr>
        <w:noProof/>
        <w:lang w:val="en-US" w:eastAsia="en-US"/>
      </w:rPr>
      <w:drawing>
        <wp:inline distT="0" distB="0" distL="0" distR="0" wp14:anchorId="12A591CE" wp14:editId="74D751D1">
          <wp:extent cx="906780" cy="906780"/>
          <wp:effectExtent l="0" t="0" r="0" b="0"/>
          <wp:docPr id="66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66AF3"/>
    <w:multiLevelType w:val="hybridMultilevel"/>
    <w:tmpl w:val="249612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0B4BBA"/>
    <w:multiLevelType w:val="hybridMultilevel"/>
    <w:tmpl w:val="C9A68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77"/>
    <w:rsid w:val="001D384D"/>
    <w:rsid w:val="0037007A"/>
    <w:rsid w:val="009821B0"/>
    <w:rsid w:val="009E5EB8"/>
    <w:rsid w:val="00B714D5"/>
    <w:rsid w:val="00BE33E6"/>
    <w:rsid w:val="00D83D7F"/>
    <w:rsid w:val="00EA38AA"/>
    <w:rsid w:val="00ED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CA69570-8D91-4363-A3A0-705970F73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E6"/>
    <w:pPr>
      <w:spacing w:after="0" w:line="240" w:lineRule="auto"/>
    </w:pPr>
    <w:rPr>
      <w:rFonts w:ascii="Cambria" w:eastAsia="Tahoma" w:hAnsi="Cambria" w:cs="Tahoma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C77"/>
    <w:pPr>
      <w:ind w:left="720"/>
      <w:contextualSpacing/>
    </w:pPr>
    <w:rPr>
      <w:rFonts w:cs="Cambria"/>
    </w:rPr>
  </w:style>
  <w:style w:type="character" w:customStyle="1" w:styleId="l5def1">
    <w:name w:val="l5def1"/>
    <w:rsid w:val="00ED3C77"/>
    <w:rPr>
      <w:rFonts w:ascii="Cambria" w:hAnsi="Cambria" w:cs="Cambria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E33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3E6"/>
    <w:rPr>
      <w:rFonts w:ascii="Cambria" w:eastAsia="Tahoma" w:hAnsi="Cambria" w:cs="Tahoma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BE33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3E6"/>
    <w:rPr>
      <w:rFonts w:ascii="Cambria" w:eastAsia="Tahoma" w:hAnsi="Cambria" w:cs="Tahoma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Georgiana BALANESCU</dc:creator>
  <cp:keywords/>
  <dc:description/>
  <cp:lastModifiedBy>Diana Platon</cp:lastModifiedBy>
  <cp:revision>2</cp:revision>
  <cp:lastPrinted>2023-12-28T11:39:00Z</cp:lastPrinted>
  <dcterms:created xsi:type="dcterms:W3CDTF">2024-03-06T08:43:00Z</dcterms:created>
  <dcterms:modified xsi:type="dcterms:W3CDTF">2024-03-06T08:43:00Z</dcterms:modified>
</cp:coreProperties>
</file>