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69" w:rsidRPr="00F97969" w:rsidRDefault="00F97969" w:rsidP="00F9796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</w:pP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Agenţia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Naţională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Cadastru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Publicitate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Imobiliară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- ANCPI -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Ordin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nr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. 75/2024 din 25 </w:t>
      </w:r>
      <w:proofErr w:type="spellStart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ianuarie</w:t>
      </w:r>
      <w:proofErr w:type="spellEnd"/>
      <w:r w:rsidRPr="00F9796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2024</w:t>
      </w:r>
    </w:p>
    <w:p w:rsidR="00F97969" w:rsidRPr="00F97969" w:rsidRDefault="00F97969" w:rsidP="00F97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488"/>
        <w:gridCol w:w="936"/>
      </w:tblGrid>
      <w:tr w:rsidR="00F97969" w:rsidRPr="00F97969" w:rsidTr="00F97969"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7969" w:rsidRPr="00F97969" w:rsidRDefault="00F97969" w:rsidP="00F979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9796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7969" w:rsidRPr="00F97969" w:rsidRDefault="00F97969" w:rsidP="00F97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B554A9" w:rsidRDefault="00F97969" w:rsidP="00B5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Ordinul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nr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. 75/2024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privind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modificarea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Procedurii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şi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modalităţii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alocare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a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sumelor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precum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şi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raportarea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către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beneficiari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a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stadiului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execuţie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a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lucrărilor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pentru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lucrările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înregistrare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sistematică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iniţiate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unităţile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administrativ-teritoriale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aprobate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prin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Ordinul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directorului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general al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Agenţiei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Naţionale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Cadastru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şi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Publicitate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Imobiliară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nr</w:t>
            </w:r>
            <w:proofErr w:type="spellEnd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 819/2016 </w:t>
            </w:r>
          </w:p>
          <w:p w:rsidR="00F97969" w:rsidRPr="00F97969" w:rsidRDefault="00F97969" w:rsidP="00B5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F9796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97969" w:rsidRPr="00F97969" w:rsidRDefault="00F97969" w:rsidP="00F979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În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vigoare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de la 12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februarie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2024</w:t>
            </w:r>
          </w:p>
          <w:p w:rsidR="00F97969" w:rsidRPr="00F97969" w:rsidRDefault="00F97969" w:rsidP="00F97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F97969" w:rsidRPr="00F97969" w:rsidRDefault="00F97969" w:rsidP="00F979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Publicat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în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Monitorul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Oficial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Partea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nr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. 120 din 12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februarie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2024.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Formă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aplicabilă</w:t>
            </w:r>
            <w:proofErr w:type="spellEnd"/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 la </w:t>
            </w:r>
            <w:hyperlink r:id="rId6" w:history="1">
              <w:r w:rsidRPr="00F9796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</w:rPr>
                <w:t xml:space="preserve">13 </w:t>
              </w:r>
              <w:proofErr w:type="spellStart"/>
              <w:r w:rsidRPr="00F9796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</w:rPr>
                <w:t>februarie</w:t>
              </w:r>
              <w:proofErr w:type="spellEnd"/>
              <w:r w:rsidRPr="00F9796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</w:rPr>
                <w:t xml:space="preserve"> 2024</w:t>
              </w:r>
            </w:hyperlink>
            <w:r w:rsidRPr="00F9796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.</w:t>
            </w:r>
          </w:p>
          <w:p w:rsidR="00F97969" w:rsidRPr="00F97969" w:rsidRDefault="00F97969" w:rsidP="00F979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</w:tblGrid>
            <w:tr w:rsidR="00F97969" w:rsidRPr="00F97969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96"/>
                  </w:tblGrid>
                  <w:tr w:rsidR="00F97969" w:rsidRPr="00F97969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F97969" w:rsidRPr="00F97969" w:rsidRDefault="00F97969" w:rsidP="00F979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</w:rPr>
                        </w:pPr>
                        <w:r w:rsidRPr="00F9796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26"/>
                            <w:szCs w:val="26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52903A4" wp14:editId="205007C3">
                                  <wp:extent cx="152400" cy="142875"/>
                                  <wp:effectExtent l="0" t="0" r="0" b="0"/>
                                  <wp:docPr id="1" name="AutoShape 1" descr="Fisa actului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BF62805" id="AutoShape 1" o:spid="_x0000_s1026" alt="Fisa actului" href="javascript:fisa_act;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F97969" w:rsidRPr="00F97969" w:rsidRDefault="00F97969" w:rsidP="00F979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97969" w:rsidRPr="00F97969" w:rsidRDefault="00F97969" w:rsidP="00F979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97969" w:rsidRPr="00F97969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F97969" w:rsidRPr="00F97969" w:rsidRDefault="00F97969" w:rsidP="00F979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</w:rPr>
                  </w:pPr>
                  <w:r w:rsidRPr="00F97969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</w:rPr>
                    <w:t xml:space="preserve">Grupează pe: categorii </w:t>
                  </w:r>
                  <w:hyperlink r:id="rId8" w:history="1">
                    <w:r w:rsidRPr="00F97969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6"/>
                        <w:szCs w:val="26"/>
                      </w:rPr>
                      <w:t>ani</w:t>
                    </w:r>
                  </w:hyperlink>
                  <w:r w:rsidRPr="00F97969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</w:tblGrid>
                  <w:tr w:rsidR="00F97969" w:rsidRPr="00F97969" w:rsidTr="00F97969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97969" w:rsidRPr="00F97969" w:rsidRDefault="00F97969" w:rsidP="00F979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97969" w:rsidRPr="00F97969" w:rsidTr="00F97969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97969" w:rsidRPr="00F97969" w:rsidRDefault="00F97969" w:rsidP="00F9796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97969" w:rsidRPr="00F97969" w:rsidRDefault="00F97969" w:rsidP="00F979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97969" w:rsidRPr="00F97969" w:rsidRDefault="00F97969" w:rsidP="00F979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F97969" w:rsidRPr="00F97969" w:rsidRDefault="00F97969" w:rsidP="00F9796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   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Având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vedere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dispoziţiile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art. 9 </w:t>
      </w:r>
      <w:hyperlink r:id="rId9" w:history="1">
        <w:proofErr w:type="spellStart"/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alin</w:t>
        </w:r>
        <w:proofErr w:type="spellEnd"/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. (12</w:t>
        </w:r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  <w:vertAlign w:val="superscript"/>
          </w:rPr>
          <w:t>1</w:t>
        </w:r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)</w:t>
        </w:r>
      </w:hyperlink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hyperlink r:id="rId10" w:history="1"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(34</w:t>
        </w:r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  <w:vertAlign w:val="superscript"/>
          </w:rPr>
          <w:t>6</w:t>
        </w:r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)</w:t>
        </w:r>
      </w:hyperlink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din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Legea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cadastrului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a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publicităţii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imobiliare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nr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. 7/1996,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republicată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cu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modificările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completările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ulterioare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temeiul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art. 3 </w:t>
      </w:r>
      <w:hyperlink r:id="rId11" w:history="1">
        <w:proofErr w:type="spellStart"/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alin</w:t>
        </w:r>
        <w:proofErr w:type="spellEnd"/>
        <w:r w:rsidRPr="00F97969">
          <w:rPr>
            <w:rFonts w:ascii="Arial" w:eastAsia="Times New Roman" w:hAnsi="Arial" w:cs="Arial"/>
            <w:i/>
            <w:iCs/>
            <w:color w:val="0000FF"/>
            <w:sz w:val="26"/>
            <w:szCs w:val="26"/>
          </w:rPr>
          <w:t>. (13)</w:t>
        </w:r>
      </w:hyperlink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gram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din</w:t>
      </w:r>
      <w:proofErr w:type="gram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Legea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cadastrului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a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publicităţii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imobiliare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nr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. 7/1996,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republicată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cu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modificările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completările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ulterioare</w:t>
      </w:r>
      <w:proofErr w:type="spellEnd"/>
      <w:r w:rsidRPr="00F97969">
        <w:rPr>
          <w:rFonts w:ascii="Arial" w:eastAsia="Times New Roman" w:hAnsi="Arial" w:cs="Arial"/>
          <w:i/>
          <w:iCs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br/>
        <w:t> </w:t>
      </w:r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directorul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general al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Agenţiei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Naţionale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Publici</w:t>
      </w:r>
      <w:r>
        <w:rPr>
          <w:rFonts w:ascii="Arial" w:eastAsia="Times New Roman" w:hAnsi="Arial" w:cs="Arial"/>
          <w:color w:val="000000"/>
          <w:sz w:val="26"/>
          <w:szCs w:val="26"/>
        </w:rPr>
        <w:t>tate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emite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ordin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97969" w:rsidRPr="00F97969" w:rsidRDefault="00F97969" w:rsidP="00F97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97969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97969">
        <w:rPr>
          <w:rFonts w:ascii="Arial" w:eastAsia="Times New Roman" w:hAnsi="Arial" w:cs="Arial"/>
          <w:b/>
          <w:bCs/>
          <w:color w:val="008000"/>
          <w:sz w:val="26"/>
          <w:szCs w:val="26"/>
        </w:rPr>
        <w:t>Art. I. -</w:t>
      </w:r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  <w:hyperlink r:id="rId12" w:history="1">
        <w:proofErr w:type="spellStart"/>
        <w:r w:rsidRPr="00F97969">
          <w:rPr>
            <w:rFonts w:ascii="Arial" w:eastAsia="Times New Roman" w:hAnsi="Arial" w:cs="Arial"/>
            <w:color w:val="0000FF"/>
            <w:sz w:val="26"/>
            <w:szCs w:val="26"/>
          </w:rPr>
          <w:t>Procedura</w:t>
        </w:r>
        <w:proofErr w:type="spellEnd"/>
      </w:hyperlink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modalitatea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alocare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sumelor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precum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raportarea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către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beneficiari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stadiului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execuţie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lucrărilor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lucrările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înregistrare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sistematică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iniţiate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unităţile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administrativ-teritoriale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aprobate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Ordinul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directorului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general al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Agenţiei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Naţionale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13" w:history="1">
        <w:proofErr w:type="spellStart"/>
        <w:r w:rsidRPr="00F97969">
          <w:rPr>
            <w:rFonts w:ascii="Arial" w:eastAsia="Times New Roman" w:hAnsi="Arial" w:cs="Arial"/>
            <w:color w:val="0000FF"/>
            <w:sz w:val="26"/>
            <w:szCs w:val="26"/>
          </w:rPr>
          <w:t>nr</w:t>
        </w:r>
        <w:proofErr w:type="spellEnd"/>
        <w:r w:rsidRPr="00F97969">
          <w:rPr>
            <w:rFonts w:ascii="Arial" w:eastAsia="Times New Roman" w:hAnsi="Arial" w:cs="Arial"/>
            <w:color w:val="0000FF"/>
            <w:sz w:val="26"/>
            <w:szCs w:val="26"/>
          </w:rPr>
          <w:t>. 819/2016</w:t>
        </w:r>
      </w:hyperlink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publicat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Monitorul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Oficial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României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Partea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I,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nr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. 583 din 1 august 2016, cu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completările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se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modifică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după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cum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urmează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F97969" w:rsidRPr="00F97969" w:rsidRDefault="00F97969" w:rsidP="00B554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97969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97969">
        <w:rPr>
          <w:rFonts w:ascii="Arial" w:eastAsia="Times New Roman" w:hAnsi="Arial" w:cs="Arial"/>
          <w:color w:val="0000FF"/>
          <w:sz w:val="26"/>
          <w:szCs w:val="26"/>
        </w:rPr>
        <w:t xml:space="preserve">- </w:t>
      </w:r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La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articolul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5 </w:t>
      </w:r>
      <w:hyperlink r:id="rId14" w:history="1">
        <w:proofErr w:type="spellStart"/>
        <w:r w:rsidRPr="00F97969">
          <w:rPr>
            <w:rFonts w:ascii="Arial" w:eastAsia="Times New Roman" w:hAnsi="Arial" w:cs="Arial"/>
            <w:color w:val="000000" w:themeColor="text1"/>
            <w:sz w:val="26"/>
            <w:szCs w:val="26"/>
          </w:rPr>
          <w:t>punctul</w:t>
        </w:r>
        <w:proofErr w:type="spellEnd"/>
        <w:r w:rsidRPr="00F97969">
          <w:rPr>
            <w:rFonts w:ascii="Arial" w:eastAsia="Times New Roman" w:hAnsi="Arial" w:cs="Arial"/>
            <w:color w:val="000000" w:themeColor="text1"/>
            <w:sz w:val="26"/>
            <w:szCs w:val="26"/>
          </w:rPr>
          <w:t xml:space="preserve"> 7</w:t>
        </w:r>
      </w:hyperlink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, </w:t>
      </w:r>
      <w:hyperlink r:id="rId15" w:history="1">
        <w:proofErr w:type="spellStart"/>
        <w:r w:rsidRPr="00F97969">
          <w:rPr>
            <w:rFonts w:ascii="Arial" w:eastAsia="Times New Roman" w:hAnsi="Arial" w:cs="Arial"/>
            <w:color w:val="000000" w:themeColor="text1"/>
            <w:sz w:val="26"/>
            <w:szCs w:val="26"/>
          </w:rPr>
          <w:t>alineatul</w:t>
        </w:r>
        <w:proofErr w:type="spellEnd"/>
        <w:r w:rsidRPr="00F97969">
          <w:rPr>
            <w:rFonts w:ascii="Arial" w:eastAsia="Times New Roman" w:hAnsi="Arial" w:cs="Arial"/>
            <w:color w:val="000000" w:themeColor="text1"/>
            <w:sz w:val="26"/>
            <w:szCs w:val="26"/>
          </w:rPr>
          <w:t xml:space="preserve"> (211)</w:t>
        </w:r>
      </w:hyperlink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se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modifică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va</w:t>
      </w:r>
      <w:proofErr w:type="spellEnd"/>
      <w:proofErr w:type="gram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avea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următorul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cuprins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:  </w:t>
      </w:r>
    </w:p>
    <w:p w:rsidR="00B554A9" w:rsidRDefault="00F97969" w:rsidP="00B554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   </w:t>
      </w:r>
      <w:proofErr w:type="gram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" (</w:t>
      </w:r>
      <w:proofErr w:type="gram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211)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Prin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excepţie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de la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prevederile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alin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. (2)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(210),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pentru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contractele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finanţare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încheiate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anul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2021,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termenul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se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poate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prelungi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până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la data de 31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mai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2024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cazul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lucrărilor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înregistrare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sistematică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pentru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care a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fost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emis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procesul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-verbal</w:t>
      </w:r>
      <w:proofErr w:type="gram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recepţie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cantitativă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şi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calitativă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aferent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Livrării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nr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. 1 «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Documentele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tehnice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ale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cadastrului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-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spre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publicare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»,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până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cel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târziu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la data de 31 </w:t>
      </w:r>
      <w:proofErr w:type="spellStart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>martie</w:t>
      </w:r>
      <w:proofErr w:type="spellEnd"/>
      <w:r w:rsidRPr="00F9796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2023."  </w:t>
      </w:r>
    </w:p>
    <w:p w:rsidR="00135DEB" w:rsidRPr="00B554A9" w:rsidRDefault="00F97969" w:rsidP="00B554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97969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97969">
        <w:rPr>
          <w:rFonts w:ascii="Arial" w:eastAsia="Times New Roman" w:hAnsi="Arial" w:cs="Arial"/>
          <w:b/>
          <w:bCs/>
          <w:color w:val="008000"/>
          <w:sz w:val="26"/>
          <w:szCs w:val="26"/>
        </w:rPr>
        <w:t>Art. II. -</w:t>
      </w:r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ordin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Monitorul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Oficial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României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F97969">
        <w:rPr>
          <w:rFonts w:ascii="Arial" w:eastAsia="Times New Roman" w:hAnsi="Arial" w:cs="Arial"/>
          <w:color w:val="000000"/>
          <w:sz w:val="26"/>
          <w:szCs w:val="26"/>
        </w:rPr>
        <w:t>Partea</w:t>
      </w:r>
      <w:proofErr w:type="spellEnd"/>
      <w:r w:rsidRPr="00F97969">
        <w:rPr>
          <w:rFonts w:ascii="Arial" w:eastAsia="Times New Roman" w:hAnsi="Arial" w:cs="Arial"/>
          <w:color w:val="000000"/>
          <w:sz w:val="26"/>
          <w:szCs w:val="26"/>
        </w:rPr>
        <w:t xml:space="preserve"> I.</w:t>
      </w:r>
      <w:r w:rsidRPr="00F97969">
        <w:rPr>
          <w:rFonts w:ascii="Arial" w:eastAsia="Times New Roman" w:hAnsi="Arial" w:cs="Arial"/>
          <w:color w:val="000000"/>
          <w:sz w:val="26"/>
          <w:szCs w:val="26"/>
        </w:rPr>
        <w:br/>
      </w:r>
    </w:p>
    <w:sectPr w:rsidR="00135DEB" w:rsidRPr="00B5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F6" w:rsidRDefault="00F905F6" w:rsidP="00B554A9">
      <w:pPr>
        <w:spacing w:after="0" w:line="240" w:lineRule="auto"/>
      </w:pPr>
      <w:r>
        <w:separator/>
      </w:r>
    </w:p>
  </w:endnote>
  <w:endnote w:type="continuationSeparator" w:id="0">
    <w:p w:rsidR="00F905F6" w:rsidRDefault="00F905F6" w:rsidP="00B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F6" w:rsidRDefault="00F905F6" w:rsidP="00B554A9">
      <w:pPr>
        <w:spacing w:after="0" w:line="240" w:lineRule="auto"/>
      </w:pPr>
      <w:r>
        <w:separator/>
      </w:r>
    </w:p>
  </w:footnote>
  <w:footnote w:type="continuationSeparator" w:id="0">
    <w:p w:rsidR="00F905F6" w:rsidRDefault="00F905F6" w:rsidP="00B55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9"/>
    <w:rsid w:val="00135DEB"/>
    <w:rsid w:val="00B352CD"/>
    <w:rsid w:val="00B554A9"/>
    <w:rsid w:val="00F905F6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8737F-05DF-44B4-9D6E-F0D0670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A9"/>
  </w:style>
  <w:style w:type="paragraph" w:styleId="Footer">
    <w:name w:val="footer"/>
    <w:basedOn w:val="Normal"/>
    <w:link w:val="FooterChar"/>
    <w:uiPriority w:val="99"/>
    <w:unhideWhenUsed/>
    <w:rsid w:val="00B5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act:1251889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fisa_act;" TargetMode="External"/><Relationship Id="rId12" Type="http://schemas.openxmlformats.org/officeDocument/2006/relationships/hyperlink" Target="act:1251890%2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dataIncarcare:" TargetMode="External"/><Relationship Id="rId11" Type="http://schemas.openxmlformats.org/officeDocument/2006/relationships/hyperlink" Target="act:781121%2082918416" TargetMode="External"/><Relationship Id="rId5" Type="http://schemas.openxmlformats.org/officeDocument/2006/relationships/endnotes" Target="endnotes.xml"/><Relationship Id="rId15" Type="http://schemas.openxmlformats.org/officeDocument/2006/relationships/hyperlink" Target="act:1251890%20511611221" TargetMode="External"/><Relationship Id="rId10" Type="http://schemas.openxmlformats.org/officeDocument/2006/relationships/hyperlink" Target="act:781121%20257123230" TargetMode="External"/><Relationship Id="rId4" Type="http://schemas.openxmlformats.org/officeDocument/2006/relationships/footnotes" Target="footnotes.xml"/><Relationship Id="rId9" Type="http://schemas.openxmlformats.org/officeDocument/2006/relationships/hyperlink" Target="act:781121%20286785757" TargetMode="External"/><Relationship Id="rId14" Type="http://schemas.openxmlformats.org/officeDocument/2006/relationships/hyperlink" Target="act:1251890%20102941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Rasuceanu</dc:creator>
  <cp:keywords/>
  <dc:description/>
  <cp:lastModifiedBy>Mihaela Rasuceanu</cp:lastModifiedBy>
  <cp:revision>3</cp:revision>
  <cp:lastPrinted>2024-02-13T10:03:00Z</cp:lastPrinted>
  <dcterms:created xsi:type="dcterms:W3CDTF">2024-02-13T08:35:00Z</dcterms:created>
  <dcterms:modified xsi:type="dcterms:W3CDTF">2024-02-13T10:07:00Z</dcterms:modified>
</cp:coreProperties>
</file>