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  <w:gridCol w:w="936"/>
      </w:tblGrid>
      <w:tr w:rsidR="00A323A6" w:rsidRPr="006A374F" w:rsidTr="006A374F"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A323A6" w:rsidP="00A32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</w:t>
            </w:r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rdinul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1622/2025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pentru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modificarea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anexei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la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Ordinul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directorului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general al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Agenţiei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Naţionale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Cadastru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Publicitate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Imobiliară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1.764/2019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privind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aprobarea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termenelor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eliberare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documentelor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datelor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rezultate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din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furnizarea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serviciilor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către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Agenţia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Naţională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Cadastru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Publicitate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Imobiliară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unităţile</w:t>
            </w:r>
            <w:proofErr w:type="spellEnd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sale </w:t>
            </w:r>
            <w:proofErr w:type="spellStart"/>
            <w:r w:rsidR="006A374F" w:rsidRPr="006A374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subordonate</w:t>
            </w:r>
            <w:proofErr w:type="spellEnd"/>
          </w:p>
          <w:p w:rsidR="006A374F" w:rsidRPr="006A374F" w:rsidRDefault="006A374F" w:rsidP="006A374F">
            <w:pPr>
              <w:spacing w:after="26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</w:pP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vigoare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de la 23 august 2025</w:t>
            </w:r>
          </w:p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</w:pP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Publicat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Monitorul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Oficial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Partea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I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nr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. 775 din 20 august 2025.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Formă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aplicabilă</w:t>
            </w:r>
            <w:proofErr w:type="spellEnd"/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la </w:t>
            </w:r>
            <w:hyperlink r:id="rId4" w:history="1">
              <w:r w:rsidRPr="006A374F">
                <w:rPr>
                  <w:rFonts w:ascii="Arial" w:eastAsia="Times New Roman" w:hAnsi="Arial" w:cs="Arial"/>
                  <w:i/>
                  <w:iCs/>
                  <w:sz w:val="26"/>
                  <w:szCs w:val="26"/>
                </w:rPr>
                <w:t>23 august 2025</w:t>
              </w:r>
            </w:hyperlink>
            <w:r w:rsidRPr="006A374F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.</w:t>
            </w:r>
          </w:p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A323A6" w:rsidRPr="006A374F" w:rsidTr="006A374F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:rsidR="006A374F" w:rsidRPr="006A374F" w:rsidRDefault="006A374F" w:rsidP="006A37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A323A6" w:rsidRPr="006A374F">
              <w:trPr>
                <w:jc w:val="right"/>
                <w:hidden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A374F" w:rsidRPr="006A374F" w:rsidRDefault="006A374F" w:rsidP="006A37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26"/>
                      <w:szCs w:val="26"/>
                    </w:rPr>
                  </w:pPr>
                  <w:r w:rsidRPr="006A374F">
                    <w:rPr>
                      <w:rFonts w:ascii="Arial" w:eastAsia="Times New Roman" w:hAnsi="Arial" w:cs="Arial"/>
                      <w:vanish/>
                      <w:sz w:val="26"/>
                      <w:szCs w:val="26"/>
                    </w:rPr>
                    <w:t xml:space="preserve">Grupează pe: categorii </w:t>
                  </w:r>
                  <w:hyperlink r:id="rId5" w:history="1">
                    <w:r w:rsidRPr="006A374F">
                      <w:rPr>
                        <w:rFonts w:ascii="Arial" w:eastAsia="Times New Roman" w:hAnsi="Arial" w:cs="Arial"/>
                        <w:b/>
                        <w:bCs/>
                        <w:vanish/>
                        <w:sz w:val="26"/>
                        <w:szCs w:val="26"/>
                      </w:rPr>
                      <w:t>ani</w:t>
                    </w:r>
                  </w:hyperlink>
                  <w:r w:rsidRPr="006A374F">
                    <w:rPr>
                      <w:rFonts w:ascii="Arial" w:eastAsia="Times New Roman" w:hAnsi="Arial" w:cs="Arial"/>
                      <w:vanish/>
                      <w:sz w:val="26"/>
                      <w:szCs w:val="26"/>
                    </w:rPr>
                    <w:t xml:space="preserve"> </w:t>
                  </w:r>
                </w:p>
                <w:tbl>
                  <w:tblPr>
                    <w:tblW w:w="5000" w:type="pct"/>
                    <w:jc w:val="right"/>
                    <w:tblCellMar>
                      <w:left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323A6" w:rsidRPr="006A374F" w:rsidTr="006A374F">
                    <w:trPr>
                      <w:jc w:val="right"/>
                      <w:hidden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A374F" w:rsidRPr="006A374F" w:rsidRDefault="006A374F" w:rsidP="006A37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A323A6" w:rsidRPr="006A374F" w:rsidTr="006A374F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A374F" w:rsidRPr="006A374F" w:rsidRDefault="006A374F" w:rsidP="006A37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6A374F" w:rsidRPr="006A374F" w:rsidRDefault="006A374F" w:rsidP="006A37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26"/>
                      <w:szCs w:val="26"/>
                    </w:rPr>
                  </w:pPr>
                </w:p>
              </w:tc>
            </w:tr>
          </w:tbl>
          <w:p w:rsidR="006A374F" w:rsidRPr="006A374F" w:rsidRDefault="006A374F" w:rsidP="006A37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Având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vedere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prevederile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art. 4 </w:t>
      </w:r>
      <w:hyperlink r:id="rId6" w:history="1">
        <w:proofErr w:type="spellStart"/>
        <w:r w:rsidRPr="006A374F">
          <w:rPr>
            <w:rFonts w:ascii="Arial" w:eastAsia="Times New Roman" w:hAnsi="Arial" w:cs="Arial"/>
            <w:i/>
            <w:iCs/>
            <w:sz w:val="26"/>
            <w:szCs w:val="26"/>
          </w:rPr>
          <w:t>alin</w:t>
        </w:r>
        <w:proofErr w:type="spellEnd"/>
        <w:r w:rsidRPr="006A374F">
          <w:rPr>
            <w:rFonts w:ascii="Arial" w:eastAsia="Times New Roman" w:hAnsi="Arial" w:cs="Arial"/>
            <w:i/>
            <w:iCs/>
            <w:sz w:val="26"/>
            <w:szCs w:val="26"/>
          </w:rPr>
          <w:t>. (1)</w:t>
        </w:r>
      </w:hyperlink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gram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din</w:t>
      </w:r>
      <w:proofErr w:type="gram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Ordinul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directorului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general al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Agenţiei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Naţionale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16/2019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privind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aprobarea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tarifelor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pentru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serviciile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furnizate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Agenţia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Naţională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instituţiile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sale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subordonate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cu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modificările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completările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ulterioare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  </w:t>
      </w:r>
    </w:p>
    <w:p w:rsidR="006A374F" w:rsidRPr="006A374F" w:rsidRDefault="006A374F" w:rsidP="00A323A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proofErr w:type="spellStart"/>
      <w:proofErr w:type="gram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proofErr w:type="gram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temeiul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art. 3 </w:t>
      </w:r>
      <w:hyperlink r:id="rId7" w:history="1">
        <w:proofErr w:type="spellStart"/>
        <w:r w:rsidRPr="006A374F">
          <w:rPr>
            <w:rFonts w:ascii="Arial" w:eastAsia="Times New Roman" w:hAnsi="Arial" w:cs="Arial"/>
            <w:i/>
            <w:iCs/>
            <w:sz w:val="26"/>
            <w:szCs w:val="26"/>
          </w:rPr>
          <w:t>alin</w:t>
        </w:r>
        <w:proofErr w:type="spellEnd"/>
        <w:r w:rsidRPr="006A374F">
          <w:rPr>
            <w:rFonts w:ascii="Arial" w:eastAsia="Times New Roman" w:hAnsi="Arial" w:cs="Arial"/>
            <w:i/>
            <w:iCs/>
            <w:sz w:val="26"/>
            <w:szCs w:val="26"/>
          </w:rPr>
          <w:t>. (13)</w:t>
        </w:r>
      </w:hyperlink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gram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din</w:t>
      </w:r>
      <w:proofErr w:type="gram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Legea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cadastrului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publicităţii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imobiliare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7/1996,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republicată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cu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modificările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completările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ulterioare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>,</w:t>
      </w:r>
      <w:r w:rsidRPr="006A374F">
        <w:rPr>
          <w:rFonts w:ascii="Arial" w:eastAsia="Times New Roman" w:hAnsi="Arial" w:cs="Arial"/>
          <w:i/>
          <w:iCs/>
          <w:sz w:val="26"/>
          <w:szCs w:val="26"/>
        </w:rPr>
        <w:br/>
        <w:t xml:space="preserve"> 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directorul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general al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Agenţiei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Naţionale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Publici</w:t>
      </w:r>
      <w:r w:rsidRPr="00A323A6">
        <w:rPr>
          <w:rFonts w:ascii="Arial" w:eastAsia="Times New Roman" w:hAnsi="Arial" w:cs="Arial"/>
          <w:sz w:val="26"/>
          <w:szCs w:val="26"/>
        </w:rPr>
        <w:t>tate</w:t>
      </w:r>
      <w:proofErr w:type="spellEnd"/>
      <w:r w:rsidRPr="00A323A6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A323A6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Pr="00A323A6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A323A6">
        <w:rPr>
          <w:rFonts w:ascii="Arial" w:eastAsia="Times New Roman" w:hAnsi="Arial" w:cs="Arial"/>
          <w:sz w:val="26"/>
          <w:szCs w:val="26"/>
        </w:rPr>
        <w:t>emite</w:t>
      </w:r>
      <w:proofErr w:type="spellEnd"/>
      <w:r w:rsidRPr="00A323A6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A323A6">
        <w:rPr>
          <w:rFonts w:ascii="Arial" w:eastAsia="Times New Roman" w:hAnsi="Arial" w:cs="Arial"/>
          <w:sz w:val="26"/>
          <w:szCs w:val="26"/>
        </w:rPr>
        <w:t>prezentul</w:t>
      </w:r>
      <w:proofErr w:type="spellEnd"/>
      <w:r w:rsidRPr="00A323A6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ordin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>.</w:t>
      </w:r>
      <w:r w:rsidRPr="006A374F">
        <w:rPr>
          <w:rFonts w:ascii="Arial" w:eastAsia="Times New Roman" w:hAnsi="Arial" w:cs="Arial"/>
          <w:sz w:val="26"/>
          <w:szCs w:val="26"/>
        </w:rPr>
        <w:br/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A374F">
        <w:rPr>
          <w:rFonts w:ascii="Arial" w:eastAsia="Times New Roman" w:hAnsi="Arial" w:cs="Arial"/>
          <w:sz w:val="26"/>
          <w:szCs w:val="26"/>
        </w:rPr>
        <w:t>   </w:t>
      </w:r>
      <w:r w:rsidRPr="006A374F">
        <w:rPr>
          <w:rFonts w:ascii="Arial" w:eastAsia="Times New Roman" w:hAnsi="Arial" w:cs="Arial"/>
          <w:b/>
          <w:bCs/>
          <w:sz w:val="26"/>
          <w:szCs w:val="26"/>
        </w:rPr>
        <w:t>Art. I. -</w:t>
      </w:r>
      <w:r w:rsidRPr="006A374F">
        <w:rPr>
          <w:rFonts w:ascii="Arial" w:eastAsia="Times New Roman" w:hAnsi="Arial" w:cs="Arial"/>
          <w:sz w:val="26"/>
          <w:szCs w:val="26"/>
        </w:rPr>
        <w:t xml:space="preserve">   </w:t>
      </w:r>
      <w:hyperlink r:id="rId8" w:history="1">
        <w:proofErr w:type="spellStart"/>
        <w:r w:rsidRPr="006A374F">
          <w:rPr>
            <w:rFonts w:ascii="Arial" w:eastAsia="Times New Roman" w:hAnsi="Arial" w:cs="Arial"/>
            <w:sz w:val="26"/>
            <w:szCs w:val="26"/>
          </w:rPr>
          <w:t>Anexa</w:t>
        </w:r>
        <w:proofErr w:type="spellEnd"/>
      </w:hyperlink>
      <w:r w:rsidRPr="006A374F">
        <w:rPr>
          <w:rFonts w:ascii="Arial" w:eastAsia="Times New Roman" w:hAnsi="Arial" w:cs="Arial"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Ordinul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directorului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general al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Agenţiei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Naţionale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. 1.764/2019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privind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aprobarea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termenelor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eliberare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documentelor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datelor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rezultate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din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furnizarea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serviciilor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către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Agenţia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Naţională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unităţile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sale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subordonate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publicat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Monitorul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Oficial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al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României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Partea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I,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. 466 din 10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iunie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2019, cu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modificările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completările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ulterioare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, </w:t>
      </w:r>
      <w:proofErr w:type="gramStart"/>
      <w:r w:rsidRPr="006A374F">
        <w:rPr>
          <w:rFonts w:ascii="Arial" w:eastAsia="Times New Roman" w:hAnsi="Arial" w:cs="Arial"/>
          <w:sz w:val="26"/>
          <w:szCs w:val="26"/>
        </w:rPr>
        <w:t>se</w:t>
      </w:r>
      <w:proofErr w:type="gram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modifică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înlocuieşte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cu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anexa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care face parte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integrantă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din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prezentul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ordin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.  </w:t>
      </w:r>
    </w:p>
    <w:p w:rsidR="006A374F" w:rsidRDefault="006A374F" w:rsidP="002A062E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6A374F">
        <w:rPr>
          <w:rFonts w:ascii="Arial" w:eastAsia="Times New Roman" w:hAnsi="Arial" w:cs="Arial"/>
          <w:sz w:val="26"/>
          <w:szCs w:val="26"/>
        </w:rPr>
        <w:t>   </w:t>
      </w:r>
      <w:r w:rsidRPr="006A374F">
        <w:rPr>
          <w:rFonts w:ascii="Arial" w:eastAsia="Times New Roman" w:hAnsi="Arial" w:cs="Arial"/>
          <w:b/>
          <w:bCs/>
          <w:sz w:val="26"/>
          <w:szCs w:val="26"/>
        </w:rPr>
        <w:t>Art. II. -</w:t>
      </w:r>
      <w:r w:rsidRPr="006A374F">
        <w:rPr>
          <w:rFonts w:ascii="Arial" w:eastAsia="Times New Roman" w:hAnsi="Arial" w:cs="Arial"/>
          <w:sz w:val="26"/>
          <w:szCs w:val="26"/>
        </w:rPr>
        <w:t xml:space="preserve">  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Prezentul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ordin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Monitorul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Oficial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al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României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Partea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I,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intră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vigoare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3</w:t>
      </w:r>
      <w:r w:rsidR="002A062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2A062E">
        <w:rPr>
          <w:rFonts w:ascii="Arial" w:eastAsia="Times New Roman" w:hAnsi="Arial" w:cs="Arial"/>
          <w:sz w:val="26"/>
          <w:szCs w:val="26"/>
        </w:rPr>
        <w:t>zile</w:t>
      </w:r>
      <w:proofErr w:type="spellEnd"/>
      <w:r w:rsidR="002A062E">
        <w:rPr>
          <w:rFonts w:ascii="Arial" w:eastAsia="Times New Roman" w:hAnsi="Arial" w:cs="Arial"/>
          <w:sz w:val="26"/>
          <w:szCs w:val="26"/>
        </w:rPr>
        <w:t xml:space="preserve"> de la data </w:t>
      </w:r>
      <w:proofErr w:type="spellStart"/>
      <w:r w:rsidR="002A062E">
        <w:rPr>
          <w:rFonts w:ascii="Arial" w:eastAsia="Times New Roman" w:hAnsi="Arial" w:cs="Arial"/>
          <w:sz w:val="26"/>
          <w:szCs w:val="26"/>
        </w:rPr>
        <w:t>publicării</w:t>
      </w:r>
      <w:proofErr w:type="spellEnd"/>
      <w:r w:rsidR="002A062E">
        <w:rPr>
          <w:rFonts w:ascii="Arial" w:eastAsia="Times New Roman" w:hAnsi="Arial" w:cs="Arial"/>
          <w:sz w:val="26"/>
          <w:szCs w:val="26"/>
        </w:rPr>
        <w:t>.</w:t>
      </w:r>
      <w:r w:rsidR="002A062E">
        <w:rPr>
          <w:rFonts w:ascii="Arial" w:eastAsia="Times New Roman" w:hAnsi="Arial" w:cs="Arial"/>
          <w:sz w:val="26"/>
          <w:szCs w:val="26"/>
        </w:rPr>
        <w:br/>
      </w:r>
      <w:r w:rsidR="002A062E">
        <w:rPr>
          <w:rFonts w:ascii="Arial" w:eastAsia="Times New Roman" w:hAnsi="Arial" w:cs="Arial"/>
          <w:sz w:val="26"/>
          <w:szCs w:val="26"/>
        </w:rPr>
        <w:br/>
        <w:t> </w:t>
      </w:r>
    </w:p>
    <w:p w:rsidR="002A062E" w:rsidRPr="006A374F" w:rsidRDefault="002A062E" w:rsidP="002A062E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069"/>
      </w:tblGrid>
      <w:tr w:rsidR="00A323A6" w:rsidRPr="006A374F" w:rsidTr="006A374F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3A6" w:rsidRPr="006A374F" w:rsidTr="006A374F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Directorul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general 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Agenţiei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Naţionale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Publicitate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,</w:t>
            </w:r>
            <w:r w:rsidRPr="006A374F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Laurenţiu-Alexandru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Blaga</w:t>
            </w:r>
            <w:proofErr w:type="spellEnd"/>
          </w:p>
        </w:tc>
      </w:tr>
    </w:tbl>
    <w:p w:rsidR="00A323A6" w:rsidRPr="006A374F" w:rsidRDefault="00A323A6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A323A6" w:rsidRPr="00A323A6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A374F">
        <w:rPr>
          <w:rFonts w:ascii="Arial" w:eastAsia="Times New Roman" w:hAnsi="Arial" w:cs="Arial"/>
          <w:sz w:val="26"/>
          <w:szCs w:val="26"/>
        </w:rPr>
        <w:t>   </w:t>
      </w:r>
    </w:p>
    <w:p w:rsidR="002A062E" w:rsidRDefault="002A062E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Bucureşti</w:t>
      </w:r>
      <w:proofErr w:type="spellEnd"/>
      <w:r>
        <w:rPr>
          <w:rFonts w:ascii="Arial" w:eastAsia="Times New Roman" w:hAnsi="Arial" w:cs="Arial"/>
          <w:sz w:val="26"/>
          <w:szCs w:val="26"/>
        </w:rPr>
        <w:t>, 11 august 2025.</w:t>
      </w:r>
    </w:p>
    <w:p w:rsidR="002A062E" w:rsidRDefault="002A062E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A323A6">
        <w:rPr>
          <w:rFonts w:ascii="Arial" w:eastAsia="Times New Roman" w:hAnsi="Arial" w:cs="Arial"/>
          <w:sz w:val="26"/>
          <w:szCs w:val="26"/>
        </w:rPr>
        <w:t>Nr.</w:t>
      </w:r>
      <w:r>
        <w:rPr>
          <w:rFonts w:ascii="Arial" w:eastAsia="Times New Roman" w:hAnsi="Arial" w:cs="Arial"/>
          <w:sz w:val="26"/>
          <w:szCs w:val="26"/>
        </w:rPr>
        <w:t>1.622</w:t>
      </w:r>
      <w:r>
        <w:rPr>
          <w:rFonts w:ascii="Arial" w:eastAsia="Times New Roman" w:hAnsi="Arial" w:cs="Arial"/>
          <w:sz w:val="26"/>
          <w:szCs w:val="26"/>
        </w:rPr>
        <w:t>.</w:t>
      </w:r>
      <w:bookmarkStart w:id="0" w:name="_GoBack"/>
      <w:bookmarkEnd w:id="0"/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A374F">
        <w:rPr>
          <w:rFonts w:ascii="Arial" w:eastAsia="Times New Roman" w:hAnsi="Arial" w:cs="Arial"/>
          <w:sz w:val="26"/>
          <w:szCs w:val="26"/>
        </w:rPr>
        <w:lastRenderedPageBreak/>
        <w:br/>
        <w:t xml:space="preserve">  </w:t>
      </w:r>
    </w:p>
    <w:p w:rsidR="006A374F" w:rsidRPr="006A374F" w:rsidRDefault="006A374F" w:rsidP="006A374F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</w:rPr>
      </w:pPr>
      <w:proofErr w:type="gramStart"/>
      <w:r w:rsidRPr="006A374F">
        <w:rPr>
          <w:rFonts w:ascii="Arial" w:eastAsia="Times New Roman" w:hAnsi="Arial" w:cs="Arial"/>
          <w:b/>
          <w:bCs/>
          <w:sz w:val="26"/>
          <w:szCs w:val="26"/>
          <w:u w:val="single"/>
        </w:rPr>
        <w:t>ANEXĂ</w:t>
      </w:r>
      <w:proofErr w:type="gramEnd"/>
      <w:r w:rsidRPr="006A374F">
        <w:rPr>
          <w:rFonts w:ascii="Arial" w:eastAsia="Times New Roman" w:hAnsi="Arial" w:cs="Arial"/>
          <w:b/>
          <w:bCs/>
          <w:sz w:val="26"/>
          <w:szCs w:val="26"/>
          <w:u w:val="single"/>
        </w:rPr>
        <w:br/>
      </w:r>
      <w:r w:rsidRPr="006A374F">
        <w:rPr>
          <w:rFonts w:ascii="Arial" w:eastAsia="Times New Roman" w:hAnsi="Arial" w:cs="Arial"/>
          <w:sz w:val="26"/>
          <w:szCs w:val="26"/>
        </w:rPr>
        <w:t>(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Anexa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Ordinul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>. 1.764/2019)</w:t>
      </w:r>
      <w:r w:rsidRPr="006A374F">
        <w:rPr>
          <w:rFonts w:ascii="Arial" w:eastAsia="Times New Roman" w:hAnsi="Arial" w:cs="Arial"/>
          <w:sz w:val="26"/>
          <w:szCs w:val="26"/>
        </w:rPr>
        <w:br/>
      </w:r>
      <w:r w:rsidRPr="006A374F">
        <w:rPr>
          <w:rFonts w:ascii="Arial" w:eastAsia="Times New Roman" w:hAnsi="Arial" w:cs="Arial"/>
          <w:sz w:val="26"/>
          <w:szCs w:val="26"/>
        </w:rPr>
        <w:br/>
        <w:t xml:space="preserve">  </w:t>
      </w:r>
    </w:p>
    <w:p w:rsidR="006A374F" w:rsidRPr="006A374F" w:rsidRDefault="006A374F" w:rsidP="006A374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6A374F">
        <w:rPr>
          <w:rFonts w:ascii="Arial" w:eastAsia="Times New Roman" w:hAnsi="Arial" w:cs="Arial"/>
          <w:sz w:val="26"/>
          <w:szCs w:val="26"/>
        </w:rPr>
        <w:t>LISTA</w:t>
      </w:r>
      <w:r w:rsidRPr="006A374F">
        <w:rPr>
          <w:rFonts w:ascii="Arial" w:eastAsia="Times New Roman" w:hAnsi="Arial" w:cs="Arial"/>
          <w:sz w:val="26"/>
          <w:szCs w:val="26"/>
        </w:rPr>
        <w:br/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privind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termenele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eliberare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documentelor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datelor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rezultate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din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furnizarea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serviciilor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către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Agenţia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Naţională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unităţile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t xml:space="preserve"> sale </w:t>
      </w:r>
      <w:proofErr w:type="spellStart"/>
      <w:r w:rsidRPr="006A374F">
        <w:rPr>
          <w:rFonts w:ascii="Arial" w:eastAsia="Times New Roman" w:hAnsi="Arial" w:cs="Arial"/>
          <w:sz w:val="26"/>
          <w:szCs w:val="26"/>
        </w:rPr>
        <w:t>subordonate</w:t>
      </w:r>
      <w:proofErr w:type="spellEnd"/>
      <w:r w:rsidRPr="006A374F">
        <w:rPr>
          <w:rFonts w:ascii="Arial" w:eastAsia="Times New Roman" w:hAnsi="Arial" w:cs="Arial"/>
          <w:sz w:val="26"/>
          <w:szCs w:val="26"/>
        </w:rPr>
        <w:br/>
      </w:r>
      <w:r w:rsidRPr="006A374F">
        <w:rPr>
          <w:rFonts w:ascii="Arial" w:eastAsia="Times New Roman" w:hAnsi="Arial" w:cs="Arial"/>
          <w:sz w:val="26"/>
          <w:szCs w:val="26"/>
        </w:rPr>
        <w:br/>
        <w:t xml:space="preserve">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tbl>
      <w:tblPr>
        <w:tblW w:w="85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03"/>
        <w:gridCol w:w="951"/>
        <w:gridCol w:w="2692"/>
        <w:gridCol w:w="975"/>
        <w:gridCol w:w="1340"/>
        <w:gridCol w:w="860"/>
      </w:tblGrid>
      <w:tr w:rsidR="00A323A6" w:rsidRPr="006A374F" w:rsidTr="006A374F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3A6" w:rsidRPr="006A374F" w:rsidTr="006A374F">
        <w:trPr>
          <w:trHeight w:val="9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Grupe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servicii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Codul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serviciului</w:t>
            </w:r>
            <w:proofErr w:type="spellEnd"/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Denumirea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serviciului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Termen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1)</w:t>
            </w: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zile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lucrătoare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Termen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regim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urgenţă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zile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lucrătoare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Referinţe</w:t>
            </w:r>
            <w:proofErr w:type="spellEnd"/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Capitolul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1.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Avize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furnizare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date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Avize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tehnice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1.1.1.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Aviz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începere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lucrări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1.1.2.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tehnică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măsurători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terestre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1.1.3.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tehnică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geodezie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cartografie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fotogrammetrie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scanare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laser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1.1.4.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Avizare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expertize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tehnice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judiciare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specialitatea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topografie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geodezie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Nota5)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Furnizare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date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geodezie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cartografie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Hărţi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(raster)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Ortofotoplan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1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px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≤ 20 cm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Ortofotoplan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20 cm &lt; 1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px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&lt; 50 cm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Ortofotoplan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1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px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≥ 50 cm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1.2.5.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Coordonate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altimetrice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planimetrice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3D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1.2.6.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Înregistrări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GNSS de la o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staţie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permanentă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9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1.2.7.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Produse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specialitate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domeniul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cartografiei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analogice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digitale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Conform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devizului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estimativ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/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lucrare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Nota6)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Capitolul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2.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publicitate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imobiliară</w:t>
            </w:r>
            <w:proofErr w:type="spellEnd"/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Prima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2.1.1.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cadastrală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înfiinţare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2.1.2.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cu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alocare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număr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2.1.3.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Înfiinţare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2.1.4.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cadastrală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înfiinţare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situate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regiunile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supuse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Decretului-lege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. 115/1938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Dezlipire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Alipire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2.2.1.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Recepţie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dezlipire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alipire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2.2.2.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dezlipire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alipire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Intabulare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2.3.1.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Intabulare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drepturi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reale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favoarea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persoanelor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juridice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2.3.2.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Intabulare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drepturi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reale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favoarea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persoanelor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fizice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2.3.3.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ipotecă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privilegiu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Radiere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2.4.1.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cartea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2.4.2.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Radiere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cartea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Rectificare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2.5.1.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Îndreptare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eroare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materială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(include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repoziţionarea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imobilului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2.5.2.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Reconstituire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2.5.3.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Corectare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sistematic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Actualizare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2.6.1.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construcţie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2.6.2.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Extindere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Radiere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construcţii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2.6.3.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Actualizare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informaţii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tehnice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2.6.4.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Anulare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operaţiuni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cadastrale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Informare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Consultare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documente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arhivă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informare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online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informare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la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registratura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BCPI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autentificare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online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autentificare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la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registratura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BCPI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Certificat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sarcini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2.7.5.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Copii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certificate ale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documentelor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arhivă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2.7.6.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Certificat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privind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identificarea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numărului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topografic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cadastral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după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numele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denumirea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proprietarului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2.7.7.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online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din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la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registratura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BCPI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9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2.7.8.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Certificat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privind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imobilului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evidenţele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după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datele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identificare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ale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acestuia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judeţ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localitate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stradă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număr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2.7.9.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Referat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consultare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registru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proprietari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la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nivel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naţional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2.7.10.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Copie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</w:t>
            </w:r>
            <w:proofErr w:type="gram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proofErr w:type="gram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imobilelor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situate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regiunile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supuse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Decretului-lege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. 115/1938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2.8.1.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2.8.2.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efectuarea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altor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operaţiuni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2.8.3.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construcţie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2.8.4.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Înregistrarea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planul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cadastral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şi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extindere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radiere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construcţie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Alte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înscrieri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2.9.1.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Înscriere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dispozitiv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hotărâre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judecătorească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4)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Capitolul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3.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furnizate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baza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unui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abonament</w:t>
            </w:r>
            <w:proofErr w:type="spellEnd"/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TopRo5 1:5000 ROMPOS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vizualizare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(WMS)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Servicii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poziţionare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GNSS,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în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timp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real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Conţinutul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cărţii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3.1.3.</w:t>
            </w:r>
          </w:p>
        </w:tc>
        <w:tc>
          <w:tcPr>
            <w:tcW w:w="4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Copie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online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3.1.4.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3.1.5.</w:t>
            </w:r>
          </w:p>
        </w:tc>
        <w:tc>
          <w:tcPr>
            <w:tcW w:w="4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Extras de carte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funciară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pentru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informare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online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3.1.6.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2)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3.1.7.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Pachet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3.1.8.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Pachet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3.1.9.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Pachet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3.1.10.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Pachet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API,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Pachet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 -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unităţi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administrativ-teritoriale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 -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adrese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administrative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3.1.14.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 -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parcele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cadastrale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3.1.15.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Interogare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API -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clădiri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Capitolul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4.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Autorizarea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persoanelor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care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efectuează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lucrări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cadastru</w:t>
            </w:r>
            <w:proofErr w:type="spellEnd"/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Autorizare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4.1.1.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Autorizarea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persoanelor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fizice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Nota</w:t>
            </w:r>
            <w:r w:rsidRPr="006A374F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3)</w:t>
            </w:r>
          </w:p>
        </w:tc>
      </w:tr>
      <w:tr w:rsidR="00A323A6" w:rsidRPr="006A374F" w:rsidTr="006A374F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4.1.2.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Autorizarea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persoanelor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juridice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23A6" w:rsidRPr="006A374F" w:rsidTr="006A374F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4.1.3.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Modificare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Eliberare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duplicat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al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certificatului</w:t>
            </w:r>
            <w:proofErr w:type="spellEnd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 xml:space="preserve"> de </w:t>
            </w:r>
            <w:proofErr w:type="spellStart"/>
            <w:r w:rsidRPr="006A374F">
              <w:rPr>
                <w:rFonts w:ascii="Arial" w:eastAsia="Times New Roman" w:hAnsi="Arial" w:cs="Arial"/>
                <w:sz w:val="17"/>
                <w:szCs w:val="17"/>
              </w:rPr>
              <w:t>autorizare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A374F" w:rsidRPr="006A374F" w:rsidRDefault="006A374F" w:rsidP="006A3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A374F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74F" w:rsidRPr="006A374F" w:rsidRDefault="006A374F" w:rsidP="006A37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lastRenderedPageBreak/>
        <w:t xml:space="preserve">   1)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situaţia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prestării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unor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servicii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pentru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întreaga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unitate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administrativ-teritorială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termenele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vor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prelungi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solicitarea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oficiului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teritorial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cu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acordul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Agenţiei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Naţionale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2)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Serviciile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care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sunt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înregistrate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online se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furnizează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îndată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dacă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informaţia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proofErr w:type="gram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este</w:t>
      </w:r>
      <w:proofErr w:type="spellEnd"/>
      <w:proofErr w:type="gram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disponibilă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mediul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electronic. 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3)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Termenul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eliberare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certificatului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autorizare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pentru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persoanele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fizice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>/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juridice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declarate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admise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calculează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la data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examenului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autorizare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nu de la data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înregistrării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cererii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proofErr w:type="gram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este</w:t>
      </w:r>
      <w:proofErr w:type="spellEnd"/>
      <w:proofErr w:type="gram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un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termen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maximal. 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4)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Termenul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calculează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prin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raportare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fiecare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operaţiune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rezultată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din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dispozitivul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hotărârii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judecătoreşti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dar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fără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depăşi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mai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lung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dintre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acestea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5)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Cererea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soluţionează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automat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către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sistemul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informatic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ulterior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încărcării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sistem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către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expertul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tehnic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judiciar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datelor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spaţiale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cu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privire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imobilele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care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fac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obiectul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avizului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tehnic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al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expertizei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tehnice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judiciare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  </w:t>
      </w:r>
    </w:p>
    <w:p w:rsidR="006A374F" w:rsidRPr="006A374F" w:rsidRDefault="006A374F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   6)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Aceste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produse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vor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fi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executate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la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cerere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doar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pentru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instituţiile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limita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resurselor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materiale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umane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disponibile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Produsele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specialitate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inclusiv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cele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tipărire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solicitate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atât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regim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normal,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cât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regim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urgenţă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către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Agenţia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Naţională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Cadastru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Publicitate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Imobiliară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instituţiile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sale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subordonate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sunt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scutite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de la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plata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6A374F">
        <w:rPr>
          <w:rFonts w:ascii="Arial" w:eastAsia="Times New Roman" w:hAnsi="Arial" w:cs="Arial"/>
          <w:i/>
          <w:iCs/>
          <w:sz w:val="26"/>
          <w:szCs w:val="26"/>
        </w:rPr>
        <w:t>tarifelor</w:t>
      </w:r>
      <w:proofErr w:type="spellEnd"/>
      <w:r w:rsidRPr="006A374F">
        <w:rPr>
          <w:rFonts w:ascii="Arial" w:eastAsia="Times New Roman" w:hAnsi="Arial" w:cs="Arial"/>
          <w:i/>
          <w:iCs/>
          <w:sz w:val="26"/>
          <w:szCs w:val="26"/>
        </w:rPr>
        <w:t xml:space="preserve">.  </w:t>
      </w:r>
    </w:p>
    <w:p w:rsidR="00CC07D6" w:rsidRPr="00A323A6" w:rsidRDefault="00CC07D6" w:rsidP="006A374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</w:p>
    <w:sectPr w:rsidR="00CC07D6" w:rsidRPr="00A3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4F"/>
    <w:rsid w:val="002A062E"/>
    <w:rsid w:val="006A374F"/>
    <w:rsid w:val="00A323A6"/>
    <w:rsid w:val="00C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2D32-A917-477A-ACC5-42B2C911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350878%202881062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781121%20829184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152641%20307637114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hyperlink" Target="dataIncarcare: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Rasuceanu</dc:creator>
  <cp:keywords/>
  <dc:description/>
  <cp:lastModifiedBy>Mihaela Rasuceanu</cp:lastModifiedBy>
  <cp:revision>3</cp:revision>
  <dcterms:created xsi:type="dcterms:W3CDTF">2025-08-21T05:54:00Z</dcterms:created>
  <dcterms:modified xsi:type="dcterms:W3CDTF">2025-08-21T06:18:00Z</dcterms:modified>
</cp:coreProperties>
</file>